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F48F" w14:textId="6DDFF638" w:rsidR="009034B1" w:rsidRDefault="00C86E6A">
      <w:pPr>
        <w:rPr>
          <w:rFonts w:ascii="Calibri" w:hAnsi="Calibri" w:cs="Calibri"/>
        </w:rPr>
      </w:pPr>
      <w:r>
        <w:rPr>
          <w:rFonts w:ascii="Calibri" w:hAnsi="Calibri" w:cs="Calibri"/>
        </w:rPr>
        <w:t>Gestion RH</w:t>
      </w:r>
    </w:p>
    <w:p w14:paraId="1B3B6F76" w14:textId="09ADF560" w:rsidR="00241D73" w:rsidRDefault="00241D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Vieillissement des </w:t>
      </w:r>
      <w:r w:rsidR="00AF5CEB">
        <w:rPr>
          <w:rFonts w:ascii="Calibri" w:hAnsi="Calibri" w:cs="Calibri"/>
        </w:rPr>
        <w:t>agents</w:t>
      </w:r>
      <w:r>
        <w:rPr>
          <w:rFonts w:ascii="Calibri" w:hAnsi="Calibri" w:cs="Calibri"/>
        </w:rPr>
        <w:t> : le service public local est-il en danger ?</w:t>
      </w:r>
    </w:p>
    <w:p w14:paraId="4DFAEF43" w14:textId="316E137A" w:rsidR="00241D73" w:rsidRDefault="00C86E6A" w:rsidP="00AF5CE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Banque postale, prêteur des collectivités locales</w:t>
      </w:r>
      <w:r w:rsidR="00AF5CE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s’inquiète : face au nombre croissant de départs à la retraite de leurs agents et aux tensions sur le marché de l’emploi, celles-ci vont-elles pouvoir préserver la continuité et la qualité de leurs services au public ? L’établissement a </w:t>
      </w:r>
      <w:r w:rsidR="00AF5CEB">
        <w:rPr>
          <w:rFonts w:ascii="Calibri" w:hAnsi="Calibri" w:cs="Calibri"/>
        </w:rPr>
        <w:t>confié la question à</w:t>
      </w:r>
      <w:r>
        <w:rPr>
          <w:rFonts w:ascii="Calibri" w:hAnsi="Calibri" w:cs="Calibri"/>
        </w:rPr>
        <w:t xml:space="preserve"> des étudiants de l’</w:t>
      </w:r>
      <w:proofErr w:type="spellStart"/>
      <w:r>
        <w:rPr>
          <w:rFonts w:ascii="Calibri" w:hAnsi="Calibri" w:cs="Calibri"/>
        </w:rPr>
        <w:t>Inet</w:t>
      </w:r>
      <w:proofErr w:type="spellEnd"/>
      <w:r>
        <w:rPr>
          <w:rFonts w:ascii="Calibri" w:hAnsi="Calibri" w:cs="Calibri"/>
        </w:rPr>
        <w:t>. Leur rapport d’étude est inquiétant</w:t>
      </w:r>
      <w:r w:rsidR="00AF5CEB">
        <w:rPr>
          <w:rFonts w:ascii="Calibri" w:hAnsi="Calibri" w:cs="Calibri"/>
        </w:rPr>
        <w:t>. M</w:t>
      </w:r>
      <w:r>
        <w:rPr>
          <w:rFonts w:ascii="Calibri" w:hAnsi="Calibri" w:cs="Calibri"/>
        </w:rPr>
        <w:t xml:space="preserve">ais, heureusement, </w:t>
      </w:r>
      <w:r w:rsidR="00AF5CEB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>propose des solutions.</w:t>
      </w:r>
    </w:p>
    <w:p w14:paraId="77B3A24C" w14:textId="38637088" w:rsidR="00241D73" w:rsidRDefault="00241D73">
      <w:pPr>
        <w:rPr>
          <w:rFonts w:ascii="Calibri" w:hAnsi="Calibri" w:cs="Calibri"/>
        </w:rPr>
      </w:pPr>
      <w:r>
        <w:rPr>
          <w:rFonts w:ascii="Calibri" w:hAnsi="Calibri" w:cs="Calibri"/>
        </w:rPr>
        <w:t>Véronique Vigne-Lepage</w:t>
      </w:r>
    </w:p>
    <w:p w14:paraId="211E6A8F" w14:textId="77777777" w:rsidR="00241D73" w:rsidRDefault="00241D73">
      <w:pPr>
        <w:rPr>
          <w:rFonts w:ascii="Calibri" w:hAnsi="Calibri" w:cs="Calibri"/>
        </w:rPr>
      </w:pPr>
    </w:p>
    <w:p w14:paraId="12C8BB8F" w14:textId="37C98918" w:rsidR="00241D73" w:rsidRDefault="00241D73" w:rsidP="00697C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un document de moins de 30 pages, mais qui devrait alerter toutes les collectivités : </w:t>
      </w:r>
      <w:r w:rsidR="00697CA9">
        <w:rPr>
          <w:rFonts w:ascii="Calibri" w:hAnsi="Calibri" w:cs="Calibri"/>
        </w:rPr>
        <w:t>à la demande de la Banque postale, dix élèves administrateurs territoriaux de l’</w:t>
      </w:r>
      <w:proofErr w:type="spellStart"/>
      <w:r w:rsidR="00697CA9">
        <w:rPr>
          <w:rFonts w:ascii="Calibri" w:hAnsi="Calibri" w:cs="Calibri"/>
        </w:rPr>
        <w:t>Inet</w:t>
      </w:r>
      <w:proofErr w:type="spellEnd"/>
      <w:r w:rsidR="00697CA9">
        <w:rPr>
          <w:rFonts w:ascii="Calibri" w:hAnsi="Calibri" w:cs="Calibri"/>
        </w:rPr>
        <w:t xml:space="preserve"> viennent de réaliser une étude </w:t>
      </w:r>
      <w:r w:rsidR="00A9668B">
        <w:rPr>
          <w:rFonts w:ascii="Calibri" w:hAnsi="Calibri" w:cs="Calibri"/>
        </w:rPr>
        <w:t>qui met en lumière les</w:t>
      </w:r>
      <w:r w:rsidR="00697CA9">
        <w:rPr>
          <w:rFonts w:ascii="Calibri" w:hAnsi="Calibri" w:cs="Calibri"/>
        </w:rPr>
        <w:t xml:space="preserve"> risques que fait peser le vieillissement des effectifs de la fonction publique terr</w:t>
      </w:r>
      <w:r w:rsidR="00A9668B">
        <w:rPr>
          <w:rFonts w:ascii="Calibri" w:hAnsi="Calibri" w:cs="Calibri"/>
        </w:rPr>
        <w:t>itoriale</w:t>
      </w:r>
      <w:r w:rsidR="00697CA9">
        <w:rPr>
          <w:rFonts w:ascii="Calibri" w:hAnsi="Calibri" w:cs="Calibri"/>
        </w:rPr>
        <w:t xml:space="preserve"> sur la continuité et la qualité du service public</w:t>
      </w:r>
      <w:r w:rsidR="00A9668B">
        <w:rPr>
          <w:rFonts w:ascii="Calibri" w:hAnsi="Calibri" w:cs="Calibri"/>
        </w:rPr>
        <w:t xml:space="preserve"> local</w:t>
      </w:r>
      <w:r w:rsidR="00697CA9">
        <w:rPr>
          <w:rFonts w:ascii="Calibri" w:hAnsi="Calibri" w:cs="Calibri"/>
        </w:rPr>
        <w:t xml:space="preserve">. </w:t>
      </w:r>
      <w:r w:rsidR="00291109">
        <w:rPr>
          <w:rFonts w:ascii="Calibri" w:hAnsi="Calibri" w:cs="Calibri"/>
        </w:rPr>
        <w:t xml:space="preserve">Une menace qui plane aussi </w:t>
      </w:r>
      <w:r w:rsidR="00697CA9">
        <w:rPr>
          <w:rFonts w:ascii="Calibri" w:hAnsi="Calibri" w:cs="Calibri"/>
        </w:rPr>
        <w:t>sur l</w:t>
      </w:r>
      <w:r w:rsidR="00A9668B">
        <w:rPr>
          <w:rFonts w:ascii="Calibri" w:hAnsi="Calibri" w:cs="Calibri"/>
        </w:rPr>
        <w:t xml:space="preserve">a capacité des collectivités </w:t>
      </w:r>
      <w:r w:rsidR="00697CA9">
        <w:rPr>
          <w:rFonts w:ascii="Calibri" w:hAnsi="Calibri" w:cs="Calibri"/>
        </w:rPr>
        <w:t xml:space="preserve">à mener </w:t>
      </w:r>
      <w:r w:rsidR="00A9668B">
        <w:rPr>
          <w:rFonts w:ascii="Calibri" w:hAnsi="Calibri" w:cs="Calibri"/>
        </w:rPr>
        <w:t>l</w:t>
      </w:r>
      <w:r w:rsidR="00291109">
        <w:rPr>
          <w:rFonts w:ascii="Calibri" w:hAnsi="Calibri" w:cs="Calibri"/>
        </w:rPr>
        <w:t xml:space="preserve">a </w:t>
      </w:r>
      <w:r w:rsidR="00697CA9">
        <w:rPr>
          <w:rFonts w:ascii="Calibri" w:hAnsi="Calibri" w:cs="Calibri"/>
        </w:rPr>
        <w:t>transition</w:t>
      </w:r>
      <w:r w:rsidR="00291109">
        <w:rPr>
          <w:rFonts w:ascii="Calibri" w:hAnsi="Calibri" w:cs="Calibri"/>
        </w:rPr>
        <w:t xml:space="preserve"> </w:t>
      </w:r>
      <w:r w:rsidR="00697CA9">
        <w:rPr>
          <w:rFonts w:ascii="Calibri" w:hAnsi="Calibri" w:cs="Calibri"/>
        </w:rPr>
        <w:t xml:space="preserve">écologique, </w:t>
      </w:r>
      <w:r w:rsidR="00A9668B">
        <w:rPr>
          <w:rFonts w:ascii="Calibri" w:hAnsi="Calibri" w:cs="Calibri"/>
        </w:rPr>
        <w:t>e</w:t>
      </w:r>
      <w:r w:rsidR="000D0A0B">
        <w:rPr>
          <w:rFonts w:ascii="Calibri" w:hAnsi="Calibri" w:cs="Calibri"/>
        </w:rPr>
        <w:t>ntrevoit</w:t>
      </w:r>
      <w:r w:rsidR="00A9668B">
        <w:rPr>
          <w:rFonts w:ascii="Calibri" w:hAnsi="Calibri" w:cs="Calibri"/>
        </w:rPr>
        <w:t xml:space="preserve"> la B</w:t>
      </w:r>
      <w:r w:rsidR="00A9668B">
        <w:rPr>
          <w:rFonts w:ascii="Calibri" w:hAnsi="Calibri" w:cs="Calibri"/>
        </w:rPr>
        <w:t>anque postale</w:t>
      </w:r>
      <w:r w:rsidR="00A9668B">
        <w:rPr>
          <w:rFonts w:ascii="Calibri" w:hAnsi="Calibri" w:cs="Calibri"/>
        </w:rPr>
        <w:t>, qui a vu là une motivation à solliciter cette étude.</w:t>
      </w:r>
    </w:p>
    <w:p w14:paraId="7C78282C" w14:textId="3BDA0C13" w:rsidR="00A527B7" w:rsidRDefault="00A527B7" w:rsidP="00697C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Une réforme « accélératrice » ?</w:t>
      </w:r>
    </w:p>
    <w:p w14:paraId="3EF93EB6" w14:textId="77777777" w:rsidR="00265670" w:rsidRDefault="00A9668B" w:rsidP="002656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Intitulée « L’accélération des départs à la retraite : nouveau défi pour les collectivités territoriales ? », celle-ci </w:t>
      </w:r>
      <w:r w:rsidR="004770F4">
        <w:rPr>
          <w:rFonts w:ascii="Calibri" w:hAnsi="Calibri" w:cs="Calibri"/>
        </w:rPr>
        <w:t>revient sur le phénomène</w:t>
      </w:r>
      <w:r w:rsidR="00291109">
        <w:rPr>
          <w:rFonts w:ascii="Calibri" w:hAnsi="Calibri" w:cs="Calibri"/>
        </w:rPr>
        <w:t>, déjà</w:t>
      </w:r>
      <w:r w:rsidR="004770F4">
        <w:rPr>
          <w:rFonts w:ascii="Calibri" w:hAnsi="Calibri" w:cs="Calibri"/>
        </w:rPr>
        <w:t xml:space="preserve"> connu</w:t>
      </w:r>
      <w:r w:rsidR="00291109">
        <w:rPr>
          <w:rFonts w:ascii="Calibri" w:hAnsi="Calibri" w:cs="Calibri"/>
        </w:rPr>
        <w:t>,</w:t>
      </w:r>
      <w:r w:rsidR="004770F4">
        <w:rPr>
          <w:rFonts w:ascii="Calibri" w:hAnsi="Calibri" w:cs="Calibri"/>
        </w:rPr>
        <w:t xml:space="preserve"> de l’augmentation continu</w:t>
      </w:r>
      <w:r w:rsidR="00291109">
        <w:rPr>
          <w:rFonts w:ascii="Calibri" w:hAnsi="Calibri" w:cs="Calibri"/>
        </w:rPr>
        <w:t>e</w:t>
      </w:r>
      <w:r w:rsidR="004770F4">
        <w:rPr>
          <w:rFonts w:ascii="Calibri" w:hAnsi="Calibri" w:cs="Calibri"/>
        </w:rPr>
        <w:t xml:space="preserve"> de l’âge moyen des agents </w:t>
      </w:r>
      <w:r w:rsidR="00291109">
        <w:rPr>
          <w:rFonts w:ascii="Calibri" w:hAnsi="Calibri" w:cs="Calibri"/>
        </w:rPr>
        <w:t>territoriaux</w:t>
      </w:r>
      <w:r w:rsidR="004770F4">
        <w:rPr>
          <w:rFonts w:ascii="Calibri" w:hAnsi="Calibri" w:cs="Calibri"/>
        </w:rPr>
        <w:t xml:space="preserve">, en pointant </w:t>
      </w:r>
      <w:r w:rsidR="00291109">
        <w:rPr>
          <w:rFonts w:ascii="Calibri" w:hAnsi="Calibri" w:cs="Calibri"/>
        </w:rPr>
        <w:t>son</w:t>
      </w:r>
      <w:r w:rsidR="004770F4">
        <w:rPr>
          <w:rFonts w:ascii="Calibri" w:hAnsi="Calibri" w:cs="Calibri"/>
        </w:rPr>
        <w:t xml:space="preserve"> </w:t>
      </w:r>
      <w:r w:rsidR="004770F4" w:rsidRPr="000A44C0">
        <w:rPr>
          <w:rFonts w:ascii="Calibri" w:hAnsi="Calibri" w:cs="Calibri"/>
        </w:rPr>
        <w:t xml:space="preserve">caractère </w:t>
      </w:r>
      <w:r w:rsidR="000A44C0">
        <w:rPr>
          <w:rFonts w:ascii="Calibri" w:hAnsi="Calibri" w:cs="Calibri"/>
        </w:rPr>
        <w:t>critiqu</w:t>
      </w:r>
      <w:r w:rsidR="00291109" w:rsidRPr="000A44C0">
        <w:rPr>
          <w:rFonts w:ascii="Calibri" w:hAnsi="Calibri" w:cs="Calibri"/>
        </w:rPr>
        <w:t>e</w:t>
      </w:r>
      <w:r w:rsidR="000A44C0">
        <w:rPr>
          <w:rFonts w:ascii="Calibri" w:hAnsi="Calibri" w:cs="Calibri"/>
        </w:rPr>
        <w:t xml:space="preserve">. </w:t>
      </w:r>
      <w:proofErr w:type="gramStart"/>
      <w:r w:rsidR="004770F4" w:rsidRPr="000A44C0">
        <w:rPr>
          <w:rFonts w:ascii="Calibri" w:hAnsi="Calibri" w:cs="Calibri"/>
        </w:rPr>
        <w:t>«</w:t>
      </w:r>
      <w:proofErr w:type="gramEnd"/>
      <w:r w:rsidR="004770F4" w:rsidRPr="000A44C0">
        <w:rPr>
          <w:rFonts w:ascii="Calibri" w:hAnsi="Calibri" w:cs="Calibri"/>
        </w:rPr>
        <w:t> </w:t>
      </w:r>
      <w:r w:rsidR="004770F4" w:rsidRPr="000A44C0">
        <w:rPr>
          <w:rFonts w:ascii="Calibri" w:hAnsi="Calibri" w:cs="Calibri"/>
        </w:rPr>
        <w:t>La part des séniors dans les effectifs des collectivités (25,8% en 2020) est nettement</w:t>
      </w:r>
      <w:r w:rsidR="000A44C0" w:rsidRPr="000A44C0">
        <w:rPr>
          <w:rFonts w:ascii="Calibri" w:hAnsi="Calibri" w:cs="Calibri"/>
        </w:rPr>
        <w:t xml:space="preserve"> </w:t>
      </w:r>
      <w:r w:rsidR="000A44C0" w:rsidRPr="000A44C0">
        <w:rPr>
          <w:rFonts w:ascii="Calibri" w:hAnsi="Calibri" w:cs="Calibri"/>
        </w:rPr>
        <w:t xml:space="preserve">supérieure </w:t>
      </w:r>
      <w:r w:rsidR="004770F4" w:rsidRPr="000A44C0">
        <w:rPr>
          <w:rFonts w:ascii="Calibri" w:hAnsi="Calibri" w:cs="Calibri"/>
        </w:rPr>
        <w:t>à celle des fonctions publiques hospitalière (17,3 %) et de l’État (18,4 %)</w:t>
      </w:r>
      <w:r w:rsidR="000A44C0">
        <w:rPr>
          <w:rFonts w:ascii="Calibri" w:hAnsi="Calibri" w:cs="Calibri"/>
        </w:rPr>
        <w:t xml:space="preserve"> », pointent les auteurs. Entre 2010 et 2020, elle a </w:t>
      </w:r>
      <w:r w:rsidR="004770F4" w:rsidRPr="000A44C0">
        <w:rPr>
          <w:rFonts w:ascii="Calibri" w:hAnsi="Calibri" w:cs="Calibri"/>
        </w:rPr>
        <w:t>augmenté de 9,4 points</w:t>
      </w:r>
      <w:r w:rsidR="00291109" w:rsidRPr="000A44C0">
        <w:rPr>
          <w:rFonts w:ascii="Calibri" w:hAnsi="Calibri" w:cs="Calibri"/>
        </w:rPr>
        <w:t> </w:t>
      </w:r>
      <w:r w:rsidR="000A44C0">
        <w:rPr>
          <w:rFonts w:ascii="Calibri" w:hAnsi="Calibri" w:cs="Calibri"/>
        </w:rPr>
        <w:t>dans le versant territorial,</w:t>
      </w:r>
      <w:r w:rsidR="00291109" w:rsidRPr="000A44C0">
        <w:rPr>
          <w:rFonts w:ascii="Calibri" w:hAnsi="Calibri" w:cs="Calibri"/>
        </w:rPr>
        <w:t xml:space="preserve"> contre </w:t>
      </w:r>
      <w:r w:rsidR="004770F4" w:rsidRPr="000A44C0">
        <w:rPr>
          <w:rFonts w:ascii="Calibri" w:hAnsi="Calibri" w:cs="Calibri"/>
        </w:rPr>
        <w:t>4,2</w:t>
      </w:r>
      <w:r w:rsidR="00291109" w:rsidRPr="000A44C0">
        <w:rPr>
          <w:rFonts w:ascii="Calibri" w:hAnsi="Calibri" w:cs="Calibri"/>
        </w:rPr>
        <w:t>%</w:t>
      </w:r>
      <w:r w:rsidR="004770F4" w:rsidRPr="000A44C0">
        <w:rPr>
          <w:rFonts w:ascii="Calibri" w:hAnsi="Calibri" w:cs="Calibri"/>
        </w:rPr>
        <w:t xml:space="preserve"> dans c</w:t>
      </w:r>
      <w:r w:rsidR="000A44C0">
        <w:rPr>
          <w:rFonts w:ascii="Calibri" w:hAnsi="Calibri" w:cs="Calibri"/>
        </w:rPr>
        <w:t>elui de</w:t>
      </w:r>
      <w:r w:rsidR="004770F4" w:rsidRPr="000A44C0">
        <w:rPr>
          <w:rFonts w:ascii="Calibri" w:hAnsi="Calibri" w:cs="Calibri"/>
        </w:rPr>
        <w:t xml:space="preserve"> </w:t>
      </w:r>
      <w:r w:rsidR="000A44C0">
        <w:rPr>
          <w:rFonts w:ascii="Calibri" w:hAnsi="Calibri" w:cs="Calibri"/>
        </w:rPr>
        <w:t>l</w:t>
      </w:r>
      <w:r w:rsidR="004770F4" w:rsidRPr="000A44C0">
        <w:rPr>
          <w:rFonts w:ascii="Calibri" w:hAnsi="Calibri" w:cs="Calibri"/>
        </w:rPr>
        <w:t xml:space="preserve">’État et 5,5 </w:t>
      </w:r>
      <w:r w:rsidR="000A44C0">
        <w:rPr>
          <w:rFonts w:ascii="Calibri" w:hAnsi="Calibri" w:cs="Calibri"/>
        </w:rPr>
        <w:t xml:space="preserve">% </w:t>
      </w:r>
      <w:r w:rsidR="004770F4" w:rsidRPr="000A44C0">
        <w:rPr>
          <w:rFonts w:ascii="Calibri" w:hAnsi="Calibri" w:cs="Calibri"/>
        </w:rPr>
        <w:t>dans l</w:t>
      </w:r>
      <w:r w:rsidR="000A44C0">
        <w:rPr>
          <w:rFonts w:ascii="Calibri" w:hAnsi="Calibri" w:cs="Calibri"/>
        </w:rPr>
        <w:t>’</w:t>
      </w:r>
      <w:r w:rsidR="004770F4" w:rsidRPr="000A44C0">
        <w:rPr>
          <w:rFonts w:ascii="Calibri" w:hAnsi="Calibri" w:cs="Calibri"/>
        </w:rPr>
        <w:t>hospitali</w:t>
      </w:r>
      <w:r w:rsidR="000A44C0">
        <w:rPr>
          <w:rFonts w:ascii="Calibri" w:hAnsi="Calibri" w:cs="Calibri"/>
        </w:rPr>
        <w:t>er</w:t>
      </w:r>
      <w:r w:rsidR="004770F4" w:rsidRPr="000A44C0">
        <w:rPr>
          <w:rFonts w:ascii="Calibri" w:hAnsi="Calibri" w:cs="Calibri"/>
        </w:rPr>
        <w:t>.</w:t>
      </w:r>
      <w:r w:rsidR="000A44C0" w:rsidRPr="000A44C0">
        <w:rPr>
          <w:rFonts w:ascii="Calibri" w:hAnsi="Calibri" w:cs="Calibri"/>
        </w:rPr>
        <w:t xml:space="preserve"> </w:t>
      </w:r>
    </w:p>
    <w:p w14:paraId="4CBAFBD2" w14:textId="0A9C3BFB" w:rsidR="009834DB" w:rsidRDefault="000A44C0" w:rsidP="00265670">
      <w:pPr>
        <w:jc w:val="both"/>
        <w:rPr>
          <w:rFonts w:ascii="Calibri" w:hAnsi="Calibri" w:cs="Calibri"/>
        </w:rPr>
      </w:pPr>
      <w:r w:rsidRPr="000A44C0">
        <w:rPr>
          <w:rFonts w:ascii="Calibri" w:hAnsi="Calibri" w:cs="Calibri"/>
        </w:rPr>
        <w:t xml:space="preserve">Dans ce contexte, si </w:t>
      </w:r>
      <w:r w:rsidR="00A9668B" w:rsidRPr="000A44C0">
        <w:rPr>
          <w:rFonts w:ascii="Calibri" w:hAnsi="Calibri" w:cs="Calibri"/>
        </w:rPr>
        <w:t>la réforme des retraite</w:t>
      </w:r>
      <w:r w:rsidR="00702297" w:rsidRPr="000A44C0">
        <w:rPr>
          <w:rFonts w:ascii="Calibri" w:hAnsi="Calibri" w:cs="Calibri"/>
        </w:rPr>
        <w:t xml:space="preserve">s </w:t>
      </w:r>
      <w:r w:rsidRPr="000A44C0">
        <w:rPr>
          <w:rFonts w:ascii="Calibri" w:hAnsi="Calibri" w:cs="Calibri"/>
        </w:rPr>
        <w:t>entrée en vigueur le 1</w:t>
      </w:r>
      <w:r w:rsidRPr="000A44C0">
        <w:rPr>
          <w:rFonts w:ascii="Calibri" w:hAnsi="Calibri" w:cs="Calibri"/>
          <w:vertAlign w:val="superscript"/>
        </w:rPr>
        <w:t>er</w:t>
      </w:r>
      <w:r w:rsidRPr="000A44C0">
        <w:rPr>
          <w:rFonts w:ascii="Calibri" w:hAnsi="Calibri" w:cs="Calibri"/>
        </w:rPr>
        <w:t xml:space="preserve"> septembre vise</w:t>
      </w:r>
      <w:r w:rsidR="00A9668B" w:rsidRPr="000A44C0">
        <w:rPr>
          <w:rFonts w:ascii="Calibri" w:hAnsi="Calibri" w:cs="Calibri"/>
        </w:rPr>
        <w:t xml:space="preserve"> un allongement des carrières</w:t>
      </w:r>
      <w:r>
        <w:rPr>
          <w:rFonts w:ascii="Calibri" w:hAnsi="Calibri" w:cs="Calibri"/>
        </w:rPr>
        <w:t>,</w:t>
      </w:r>
      <w:r w:rsidRPr="000A44C0">
        <w:rPr>
          <w:rFonts w:ascii="Calibri" w:hAnsi="Calibri" w:cs="Calibri"/>
        </w:rPr>
        <w:t xml:space="preserve"> les élèves administrateurs</w:t>
      </w:r>
      <w:r>
        <w:rPr>
          <w:rFonts w:ascii="Calibri" w:hAnsi="Calibri" w:cs="Calibri"/>
        </w:rPr>
        <w:t xml:space="preserve"> rapportent que</w:t>
      </w:r>
      <w:r w:rsidR="00A527B7">
        <w:rPr>
          <w:rFonts w:ascii="Calibri" w:hAnsi="Calibri" w:cs="Calibri"/>
        </w:rPr>
        <w:t>, dans les entretiens qu’ils ont conduits,</w:t>
      </w:r>
      <w:r w:rsidRPr="000A44C0">
        <w:rPr>
          <w:rFonts w:ascii="Calibri" w:hAnsi="Calibri" w:cs="Calibri"/>
        </w:rPr>
        <w:t xml:space="preserve"> « </w:t>
      </w:r>
      <w:r w:rsidR="004770F4" w:rsidRPr="000A44C0">
        <w:rPr>
          <w:rFonts w:ascii="Calibri" w:hAnsi="Calibri" w:cs="Calibri"/>
        </w:rPr>
        <w:t xml:space="preserve">les incertitudes sur </w:t>
      </w:r>
      <w:r w:rsidRPr="000A44C0">
        <w:rPr>
          <w:rFonts w:ascii="Calibri" w:hAnsi="Calibri" w:cs="Calibri"/>
        </w:rPr>
        <w:t>l</w:t>
      </w:r>
      <w:r w:rsidR="004770F4" w:rsidRPr="000A44C0">
        <w:rPr>
          <w:rFonts w:ascii="Calibri" w:hAnsi="Calibri" w:cs="Calibri"/>
        </w:rPr>
        <w:t xml:space="preserve">es conséquences </w:t>
      </w:r>
      <w:r w:rsidRPr="000A44C0">
        <w:rPr>
          <w:rFonts w:ascii="Calibri" w:hAnsi="Calibri" w:cs="Calibri"/>
        </w:rPr>
        <w:t xml:space="preserve">de cette réforme </w:t>
      </w:r>
      <w:r w:rsidR="004770F4" w:rsidRPr="000A44C0">
        <w:rPr>
          <w:rFonts w:ascii="Calibri" w:hAnsi="Calibri" w:cs="Calibri"/>
        </w:rPr>
        <w:t xml:space="preserve">pour les agents ont été évoquées comme un facteur accélérant les départs à la </w:t>
      </w:r>
      <w:r w:rsidR="004770F4" w:rsidRPr="002A5424">
        <w:rPr>
          <w:rFonts w:ascii="Calibri" w:hAnsi="Calibri" w:cs="Calibri"/>
        </w:rPr>
        <w:t>retraite</w:t>
      </w:r>
      <w:r w:rsidR="004770F4" w:rsidRPr="002A5424">
        <w:rPr>
          <w:rFonts w:ascii="Calibri" w:hAnsi="Calibri" w:cs="Calibri"/>
        </w:rPr>
        <w:t> »</w:t>
      </w:r>
      <w:r w:rsidRPr="002A5424">
        <w:rPr>
          <w:rFonts w:ascii="Calibri" w:hAnsi="Calibri" w:cs="Calibri"/>
        </w:rPr>
        <w:t>.</w:t>
      </w:r>
      <w:r w:rsidR="002A5424" w:rsidRPr="002A5424">
        <w:rPr>
          <w:rFonts w:ascii="Calibri" w:hAnsi="Calibri" w:cs="Calibri"/>
        </w:rPr>
        <w:t xml:space="preserve"> </w:t>
      </w:r>
      <w:r w:rsidR="00A527B7">
        <w:rPr>
          <w:rFonts w:ascii="Calibri" w:hAnsi="Calibri" w:cs="Calibri"/>
        </w:rPr>
        <w:t>Un</w:t>
      </w:r>
      <w:r w:rsidR="002A5424" w:rsidRPr="002A5424">
        <w:rPr>
          <w:rFonts w:ascii="Calibri" w:hAnsi="Calibri" w:cs="Calibri"/>
        </w:rPr>
        <w:t xml:space="preserve"> quart des collectivités interrogées projette</w:t>
      </w:r>
      <w:r w:rsidR="002A5424">
        <w:rPr>
          <w:rFonts w:ascii="Calibri" w:hAnsi="Calibri" w:cs="Calibri"/>
        </w:rPr>
        <w:t>nt</w:t>
      </w:r>
      <w:r w:rsidR="002A5424" w:rsidRPr="002A5424">
        <w:rPr>
          <w:rFonts w:ascii="Calibri" w:hAnsi="Calibri" w:cs="Calibri"/>
        </w:rPr>
        <w:t xml:space="preserve"> le départ de 15 à 25 % de leurs effectifs d’ici 5 ans</w:t>
      </w:r>
      <w:r w:rsidR="002A5424">
        <w:rPr>
          <w:rFonts w:ascii="Calibri" w:hAnsi="Calibri" w:cs="Calibri"/>
        </w:rPr>
        <w:t>.</w:t>
      </w:r>
      <w:r w:rsidR="00D20C61">
        <w:rPr>
          <w:rFonts w:ascii="Calibri" w:hAnsi="Calibri" w:cs="Calibri"/>
        </w:rPr>
        <w:t xml:space="preserve"> </w:t>
      </w:r>
      <w:r w:rsidR="009834DB" w:rsidRPr="00D873A1">
        <w:rPr>
          <w:rFonts w:ascii="Calibri" w:hAnsi="Calibri" w:cs="Calibri"/>
        </w:rPr>
        <w:t xml:space="preserve">Mais elles n’ont souvent pas de vision au-delà de cet horizon : </w:t>
      </w:r>
      <w:r w:rsidR="00D873A1">
        <w:rPr>
          <w:rFonts w:ascii="Calibri" w:hAnsi="Calibri" w:cs="Calibri"/>
        </w:rPr>
        <w:t xml:space="preserve">dans les </w:t>
      </w:r>
      <w:r w:rsidR="00D873A1" w:rsidRPr="006B089E">
        <w:rPr>
          <w:rFonts w:ascii="Calibri" w:hAnsi="Calibri" w:cs="Calibri"/>
        </w:rPr>
        <w:t>33 communes</w:t>
      </w:r>
      <w:r w:rsidR="00D873A1">
        <w:rPr>
          <w:rFonts w:ascii="Calibri" w:hAnsi="Calibri" w:cs="Calibri"/>
        </w:rPr>
        <w:t>,</w:t>
      </w:r>
      <w:r w:rsidR="00D873A1" w:rsidRPr="006B089E">
        <w:rPr>
          <w:rFonts w:ascii="Calibri" w:hAnsi="Calibri" w:cs="Calibri"/>
        </w:rPr>
        <w:t xml:space="preserve"> EPCI ou conseils départementaux </w:t>
      </w:r>
      <w:r w:rsidR="00D873A1">
        <w:rPr>
          <w:rFonts w:ascii="Calibri" w:hAnsi="Calibri" w:cs="Calibri"/>
        </w:rPr>
        <w:t>interrogés, les auteurs notent</w:t>
      </w:r>
      <w:r w:rsidR="00D873A1" w:rsidRPr="00D873A1">
        <w:rPr>
          <w:rFonts w:ascii="Calibri" w:hAnsi="Calibri" w:cs="Calibri"/>
        </w:rPr>
        <w:t xml:space="preserve"> </w:t>
      </w:r>
      <w:r w:rsidR="00D873A1">
        <w:rPr>
          <w:rFonts w:ascii="Calibri" w:hAnsi="Calibri" w:cs="Calibri"/>
        </w:rPr>
        <w:t>une « </w:t>
      </w:r>
      <w:r w:rsidR="00D873A1" w:rsidRPr="00D873A1">
        <w:rPr>
          <w:rFonts w:ascii="Calibri" w:hAnsi="Calibri" w:cs="Calibri"/>
        </w:rPr>
        <w:t>insuffisante vigilance portée à l’évolution des départs, ainsi que leur faible place dans les prospectives RH réalisées par les directions ressources</w:t>
      </w:r>
      <w:r w:rsidR="00D873A1">
        <w:rPr>
          <w:rFonts w:ascii="Calibri" w:hAnsi="Calibri" w:cs="Calibri"/>
        </w:rPr>
        <w:t xml:space="preserve"> ». </w:t>
      </w:r>
    </w:p>
    <w:p w14:paraId="364B1F11" w14:textId="6E1F629F" w:rsidR="00A527B7" w:rsidRPr="00D873A1" w:rsidRDefault="00A527B7" w:rsidP="002656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B089E">
        <w:rPr>
          <w:rFonts w:ascii="Calibri" w:hAnsi="Calibri" w:cs="Calibri"/>
        </w:rPr>
        <w:t xml:space="preserve">isques </w:t>
      </w:r>
      <w:r>
        <w:rPr>
          <w:rFonts w:ascii="Calibri" w:hAnsi="Calibri" w:cs="Calibri"/>
        </w:rPr>
        <w:t>« </w:t>
      </w:r>
      <w:r w:rsidRPr="006B089E">
        <w:rPr>
          <w:rFonts w:ascii="Calibri" w:hAnsi="Calibri" w:cs="Calibri"/>
        </w:rPr>
        <w:t>clairement identifiés</w:t>
      </w:r>
      <w:r>
        <w:rPr>
          <w:rFonts w:ascii="Calibri" w:hAnsi="Calibri" w:cs="Calibri"/>
        </w:rPr>
        <w:t> »</w:t>
      </w:r>
    </w:p>
    <w:p w14:paraId="4F0948D5" w14:textId="47A8B387" w:rsidR="009834DB" w:rsidRDefault="005C7A24" w:rsidP="006461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Or, </w:t>
      </w:r>
      <w:r w:rsidR="0064616E">
        <w:rPr>
          <w:rFonts w:ascii="Calibri" w:hAnsi="Calibri" w:cs="Calibri"/>
        </w:rPr>
        <w:t>en parallèle à cet accroissement des départs à la retraite</w:t>
      </w:r>
      <w:r w:rsidRPr="006B089E">
        <w:rPr>
          <w:rFonts w:ascii="Calibri" w:hAnsi="Calibri" w:cs="Calibri"/>
        </w:rPr>
        <w:t>, les difficultés de recrutement</w:t>
      </w:r>
      <w:r w:rsidR="00D20C61">
        <w:rPr>
          <w:rFonts w:ascii="Calibri" w:hAnsi="Calibri" w:cs="Calibri"/>
        </w:rPr>
        <w:t xml:space="preserve"> des collectivités </w:t>
      </w:r>
      <w:r w:rsidRPr="006B089E">
        <w:rPr>
          <w:rFonts w:ascii="Calibri" w:hAnsi="Calibri" w:cs="Calibri"/>
        </w:rPr>
        <w:t>sont majeures</w:t>
      </w:r>
      <w:r w:rsidR="00D20C61" w:rsidRPr="006B089E">
        <w:rPr>
          <w:rFonts w:ascii="Calibri" w:hAnsi="Calibri" w:cs="Calibri"/>
        </w:rPr>
        <w:t xml:space="preserve">, particulièrement dans certains </w:t>
      </w:r>
      <w:r w:rsidR="00D20C61">
        <w:rPr>
          <w:rFonts w:ascii="Calibri" w:hAnsi="Calibri" w:cs="Calibri"/>
        </w:rPr>
        <w:t xml:space="preserve">de leurs </w:t>
      </w:r>
      <w:r w:rsidR="00D20C61" w:rsidRPr="006B089E">
        <w:rPr>
          <w:rFonts w:ascii="Calibri" w:hAnsi="Calibri" w:cs="Calibri"/>
        </w:rPr>
        <w:t>métiers</w:t>
      </w:r>
      <w:r w:rsidRPr="006B089E">
        <w:rPr>
          <w:rFonts w:ascii="Calibri" w:hAnsi="Calibri" w:cs="Calibri"/>
        </w:rPr>
        <w:t>. Conséquence</w:t>
      </w:r>
      <w:r w:rsidR="00A527B7">
        <w:rPr>
          <w:rFonts w:ascii="Calibri" w:hAnsi="Calibri" w:cs="Calibri"/>
        </w:rPr>
        <w:t xml:space="preserve"> : </w:t>
      </w:r>
      <w:r w:rsidR="006B089E" w:rsidRPr="006B089E">
        <w:rPr>
          <w:rFonts w:ascii="Calibri" w:hAnsi="Calibri" w:cs="Calibri"/>
        </w:rPr>
        <w:t>« d</w:t>
      </w:r>
      <w:r w:rsidR="006B089E" w:rsidRPr="006B089E">
        <w:rPr>
          <w:rFonts w:ascii="Calibri" w:hAnsi="Calibri" w:cs="Calibri"/>
        </w:rPr>
        <w:t xml:space="preserve">es risques </w:t>
      </w:r>
      <w:r w:rsidR="006B089E" w:rsidRPr="006B089E">
        <w:rPr>
          <w:rFonts w:ascii="Calibri" w:hAnsi="Calibri" w:cs="Calibri"/>
        </w:rPr>
        <w:t xml:space="preserve">sont </w:t>
      </w:r>
      <w:r w:rsidR="006B089E" w:rsidRPr="006B089E">
        <w:rPr>
          <w:rFonts w:ascii="Calibri" w:hAnsi="Calibri" w:cs="Calibri"/>
        </w:rPr>
        <w:t>clairement identifiés pour la continuité du service public sur certaines filières en tension</w:t>
      </w:r>
      <w:r w:rsidR="00D20C61">
        <w:rPr>
          <w:rFonts w:ascii="Calibri" w:hAnsi="Calibri" w:cs="Calibri"/>
        </w:rPr>
        <w:t>, rapportent</w:t>
      </w:r>
      <w:r w:rsidR="00A527B7">
        <w:rPr>
          <w:rFonts w:ascii="Calibri" w:hAnsi="Calibri" w:cs="Calibri"/>
        </w:rPr>
        <w:t xml:space="preserve">-ils </w:t>
      </w:r>
      <w:r w:rsidR="00D20C61">
        <w:rPr>
          <w:rFonts w:ascii="Calibri" w:hAnsi="Calibri" w:cs="Calibri"/>
        </w:rPr>
        <w:t>:</w:t>
      </w:r>
      <w:r w:rsidR="006B089E" w:rsidRPr="006B089E">
        <w:rPr>
          <w:rFonts w:ascii="Calibri" w:hAnsi="Calibri" w:cs="Calibri"/>
        </w:rPr>
        <w:t xml:space="preserve"> sociale et médico-sociale, petite enfance, métiers à forte technicité…</w:t>
      </w:r>
      <w:r w:rsidR="006B089E" w:rsidRPr="006B089E">
        <w:rPr>
          <w:rFonts w:ascii="Calibri" w:hAnsi="Calibri" w:cs="Calibri"/>
        </w:rPr>
        <w:t> »</w:t>
      </w:r>
      <w:r w:rsidR="0064616E">
        <w:rPr>
          <w:rFonts w:ascii="Calibri" w:hAnsi="Calibri" w:cs="Calibri"/>
        </w:rPr>
        <w:t>. En</w:t>
      </w:r>
      <w:r w:rsidR="00D20C61">
        <w:rPr>
          <w:rFonts w:ascii="Calibri" w:hAnsi="Calibri" w:cs="Calibri"/>
        </w:rPr>
        <w:t xml:space="preserve"> outre</w:t>
      </w:r>
      <w:r w:rsidR="0064616E">
        <w:rPr>
          <w:rFonts w:ascii="Calibri" w:hAnsi="Calibri" w:cs="Calibri"/>
        </w:rPr>
        <w:t xml:space="preserve">, remarquent-ils, « les départs </w:t>
      </w:r>
      <w:r w:rsidR="000E2A08">
        <w:rPr>
          <w:rFonts w:ascii="Calibri" w:hAnsi="Calibri" w:cs="Calibri"/>
        </w:rPr>
        <w:t>induisent une perte de compétences et de connaissances ».</w:t>
      </w:r>
    </w:p>
    <w:p w14:paraId="59254296" w14:textId="04FF0E4D" w:rsidR="005C7A24" w:rsidRDefault="00DB5AD4" w:rsidP="00DB5A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entretiens réalisés permettent pour autant </w:t>
      </w:r>
      <w:r w:rsidR="00A527B7">
        <w:rPr>
          <w:rFonts w:ascii="Calibri" w:hAnsi="Calibri" w:cs="Calibri"/>
        </w:rPr>
        <w:t>aux</w:t>
      </w:r>
      <w:r>
        <w:rPr>
          <w:rFonts w:ascii="Calibri" w:hAnsi="Calibri" w:cs="Calibri"/>
        </w:rPr>
        <w:t xml:space="preserve"> auteurs de faire des préconisations sur la base d’exemples </w:t>
      </w:r>
      <w:r w:rsidR="00A527B7">
        <w:rPr>
          <w:rFonts w:ascii="Calibri" w:hAnsi="Calibri" w:cs="Calibri"/>
        </w:rPr>
        <w:t>« </w:t>
      </w:r>
      <w:r>
        <w:rPr>
          <w:rFonts w:ascii="Calibri" w:hAnsi="Calibri" w:cs="Calibri"/>
        </w:rPr>
        <w:t xml:space="preserve">inspirants ». Première </w:t>
      </w:r>
      <w:r w:rsidR="00A527B7">
        <w:rPr>
          <w:rFonts w:ascii="Calibri" w:hAnsi="Calibri" w:cs="Calibri"/>
        </w:rPr>
        <w:t>d’entre elles</w:t>
      </w:r>
      <w:r>
        <w:rPr>
          <w:rFonts w:ascii="Calibri" w:hAnsi="Calibri" w:cs="Calibri"/>
        </w:rPr>
        <w:t xml:space="preserve"> : </w:t>
      </w:r>
      <w:r w:rsidR="0064616E">
        <w:rPr>
          <w:rFonts w:ascii="Calibri" w:hAnsi="Calibri" w:cs="Calibri"/>
        </w:rPr>
        <w:t xml:space="preserve">établir une prospective </w:t>
      </w:r>
      <w:r>
        <w:rPr>
          <w:rFonts w:ascii="Calibri" w:hAnsi="Calibri" w:cs="Calibri"/>
        </w:rPr>
        <w:t xml:space="preserve">RH </w:t>
      </w:r>
      <w:r w:rsidR="0064616E">
        <w:rPr>
          <w:rFonts w:ascii="Calibri" w:hAnsi="Calibri" w:cs="Calibri"/>
        </w:rPr>
        <w:t>pluriannuelle</w:t>
      </w:r>
      <w:r>
        <w:rPr>
          <w:rFonts w:ascii="Calibri" w:hAnsi="Calibri" w:cs="Calibri"/>
        </w:rPr>
        <w:t xml:space="preserve">. </w:t>
      </w:r>
      <w:r w:rsidR="002A379D">
        <w:rPr>
          <w:rFonts w:ascii="Calibri" w:hAnsi="Calibri" w:cs="Calibri"/>
        </w:rPr>
        <w:t>En ce sens, le</w:t>
      </w:r>
      <w:r>
        <w:rPr>
          <w:rFonts w:ascii="Calibri" w:hAnsi="Calibri" w:cs="Calibri"/>
        </w:rPr>
        <w:t>s dispositifs de</w:t>
      </w:r>
      <w:r>
        <w:rPr>
          <w:rFonts w:ascii="Calibri" w:hAnsi="Calibri" w:cs="Calibri"/>
        </w:rPr>
        <w:t xml:space="preserve"> suivi des données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 direction et par métier, mis en place par le Département du Val-de-Marne, et par les Villes et la Métropoles de Dijon et de Nantes</w:t>
      </w:r>
      <w:r>
        <w:rPr>
          <w:rFonts w:ascii="Calibri" w:hAnsi="Calibri" w:cs="Calibri"/>
        </w:rPr>
        <w:t xml:space="preserve"> </w:t>
      </w:r>
      <w:r w:rsidR="002A379D">
        <w:rPr>
          <w:rFonts w:ascii="Calibri" w:hAnsi="Calibri" w:cs="Calibri"/>
        </w:rPr>
        <w:t>démontrent l’intérêt</w:t>
      </w:r>
      <w:r w:rsidR="00A527B7">
        <w:rPr>
          <w:rFonts w:ascii="Calibri" w:hAnsi="Calibri" w:cs="Calibri"/>
        </w:rPr>
        <w:t xml:space="preserve"> </w:t>
      </w:r>
      <w:r w:rsidR="002A379D">
        <w:rPr>
          <w:rFonts w:ascii="Calibri" w:hAnsi="Calibri" w:cs="Calibri"/>
        </w:rPr>
        <w:t>de « centraliser et piloter l’information »</w:t>
      </w:r>
      <w:r w:rsidR="00A527B7">
        <w:rPr>
          <w:rFonts w:ascii="Calibri" w:hAnsi="Calibri" w:cs="Calibri"/>
        </w:rPr>
        <w:t>. Mais l</w:t>
      </w:r>
      <w:r w:rsidR="002A379D">
        <w:rPr>
          <w:rFonts w:ascii="Calibri" w:hAnsi="Calibri" w:cs="Calibri"/>
        </w:rPr>
        <w:t xml:space="preserve">’étape suivante </w:t>
      </w:r>
      <w:r w:rsidR="00A527B7">
        <w:rPr>
          <w:rFonts w:ascii="Calibri" w:hAnsi="Calibri" w:cs="Calibri"/>
        </w:rPr>
        <w:t>est</w:t>
      </w:r>
      <w:r w:rsidR="002A379D">
        <w:rPr>
          <w:rFonts w:ascii="Calibri" w:hAnsi="Calibri" w:cs="Calibri"/>
        </w:rPr>
        <w:t xml:space="preserve"> de « structurer une démarche de Gestion </w:t>
      </w:r>
      <w:r w:rsidR="002A379D">
        <w:rPr>
          <w:rFonts w:ascii="Calibri" w:hAnsi="Calibri" w:cs="Calibri"/>
        </w:rPr>
        <w:lastRenderedPageBreak/>
        <w:t>prévisionnelle des emplois, des effectifs et des compétences (GPEEC) sur les métiers en tension »</w:t>
      </w:r>
      <w:r w:rsidR="00A527B7">
        <w:rPr>
          <w:rFonts w:ascii="Calibri" w:hAnsi="Calibri" w:cs="Calibri"/>
        </w:rPr>
        <w:t>, ajoutent-ils</w:t>
      </w:r>
      <w:r w:rsidR="002A379D">
        <w:rPr>
          <w:rFonts w:ascii="Calibri" w:hAnsi="Calibri" w:cs="Calibri"/>
        </w:rPr>
        <w:t>.</w:t>
      </w:r>
    </w:p>
    <w:p w14:paraId="2FF01D5F" w14:textId="6CA6E60D" w:rsidR="00A527B7" w:rsidRDefault="00A527B7" w:rsidP="00DB5A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Réorganiser, externaliser, réduire…</w:t>
      </w:r>
    </w:p>
    <w:p w14:paraId="33F3564F" w14:textId="57E64BD6" w:rsidR="002A379D" w:rsidRDefault="002A379D" w:rsidP="00DB5A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Autre type de </w:t>
      </w:r>
      <w:r w:rsidRPr="002A379D">
        <w:rPr>
          <w:rFonts w:ascii="Calibri" w:hAnsi="Calibri" w:cs="Calibri"/>
        </w:rPr>
        <w:t xml:space="preserve">réponse : </w:t>
      </w:r>
      <w:r>
        <w:rPr>
          <w:rFonts w:ascii="Calibri" w:hAnsi="Calibri" w:cs="Calibri"/>
        </w:rPr>
        <w:t>« F</w:t>
      </w:r>
      <w:r w:rsidRPr="002A379D">
        <w:rPr>
          <w:rFonts w:ascii="Calibri" w:hAnsi="Calibri" w:cs="Calibri"/>
        </w:rPr>
        <w:t>aire des départs en retraite une composante du dialogue de gestion</w:t>
      </w:r>
      <w:r>
        <w:rPr>
          <w:rFonts w:ascii="Calibri" w:hAnsi="Calibri" w:cs="Calibri"/>
        </w:rPr>
        <w:t> ». C’est le sens de</w:t>
      </w:r>
      <w:r w:rsidRPr="002A37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la </w:t>
      </w:r>
      <w:r w:rsidRPr="00C82EBF">
        <w:rPr>
          <w:rFonts w:ascii="Calibri" w:hAnsi="Calibri" w:cs="Calibri"/>
        </w:rPr>
        <w:t xml:space="preserve">revue de gestion annuelle </w:t>
      </w:r>
      <w:r w:rsidRPr="00C82EBF">
        <w:rPr>
          <w:rFonts w:ascii="Calibri" w:hAnsi="Calibri" w:cs="Calibri"/>
        </w:rPr>
        <w:t>instaurée au sein de l</w:t>
      </w:r>
      <w:r w:rsidRPr="00C82EBF">
        <w:rPr>
          <w:rFonts w:ascii="Calibri" w:hAnsi="Calibri" w:cs="Calibri"/>
        </w:rPr>
        <w:t xml:space="preserve">a </w:t>
      </w:r>
      <w:r w:rsidRPr="00C82EBF">
        <w:rPr>
          <w:rFonts w:ascii="Calibri" w:hAnsi="Calibri" w:cs="Calibri"/>
        </w:rPr>
        <w:t>V</w:t>
      </w:r>
      <w:r w:rsidRPr="00C82EBF">
        <w:rPr>
          <w:rFonts w:ascii="Calibri" w:hAnsi="Calibri" w:cs="Calibri"/>
        </w:rPr>
        <w:t xml:space="preserve">ille et </w:t>
      </w:r>
      <w:r w:rsidRPr="00C82EBF">
        <w:rPr>
          <w:rFonts w:ascii="Calibri" w:hAnsi="Calibri" w:cs="Calibri"/>
        </w:rPr>
        <w:t>M</w:t>
      </w:r>
      <w:r w:rsidRPr="00C82EBF">
        <w:rPr>
          <w:rFonts w:ascii="Calibri" w:hAnsi="Calibri" w:cs="Calibri"/>
        </w:rPr>
        <w:t xml:space="preserve">étropole de </w:t>
      </w:r>
      <w:r w:rsidRPr="00C82EBF">
        <w:rPr>
          <w:rFonts w:ascii="Calibri" w:hAnsi="Calibri" w:cs="Calibri"/>
        </w:rPr>
        <w:t>Dijon, qui pourrait même</w:t>
      </w:r>
      <w:r w:rsidRPr="00C82EBF">
        <w:rPr>
          <w:rFonts w:ascii="Calibri" w:hAnsi="Calibri" w:cs="Calibri"/>
        </w:rPr>
        <w:t xml:space="preserve"> évoluer ver</w:t>
      </w:r>
      <w:r w:rsidRPr="00C82EBF">
        <w:rPr>
          <w:rFonts w:ascii="Calibri" w:hAnsi="Calibri" w:cs="Calibri"/>
        </w:rPr>
        <w:t>s une</w:t>
      </w:r>
      <w:r w:rsidRPr="00C82EBF">
        <w:rPr>
          <w:rFonts w:ascii="Calibri" w:hAnsi="Calibri" w:cs="Calibri"/>
        </w:rPr>
        <w:t xml:space="preserve"> contractualisation d’engagements réciproques entre la DRH et les directions opérationnelles</w:t>
      </w:r>
      <w:r w:rsidRPr="00C82EBF">
        <w:rPr>
          <w:rFonts w:ascii="Calibri" w:hAnsi="Calibri" w:cs="Calibri"/>
        </w:rPr>
        <w:t xml:space="preserve">. A </w:t>
      </w:r>
      <w:r w:rsidRPr="00C82EBF">
        <w:rPr>
          <w:rFonts w:ascii="Calibri" w:hAnsi="Calibri" w:cs="Calibri"/>
        </w:rPr>
        <w:t>la Métropole européenne de Lille</w:t>
      </w:r>
      <w:r w:rsidRPr="00C82EBF">
        <w:rPr>
          <w:rFonts w:ascii="Calibri" w:hAnsi="Calibri" w:cs="Calibri"/>
        </w:rPr>
        <w:t>, rapportent-ils aussi « c</w:t>
      </w:r>
      <w:r w:rsidRPr="00C82EBF">
        <w:rPr>
          <w:rFonts w:ascii="Calibri" w:hAnsi="Calibri" w:cs="Calibri"/>
        </w:rPr>
        <w:t>haque poste est réinterrogé lors d’un départ en retraite</w:t>
      </w:r>
      <w:r w:rsidRPr="00C82EBF">
        <w:rPr>
          <w:rFonts w:ascii="Calibri" w:hAnsi="Calibri" w:cs="Calibri"/>
        </w:rPr>
        <w:t xml:space="preserve"> </w:t>
      </w:r>
      <w:r w:rsidR="00C82EBF" w:rsidRPr="00C82EBF">
        <w:rPr>
          <w:rFonts w:ascii="Calibri" w:hAnsi="Calibri" w:cs="Calibri"/>
        </w:rPr>
        <w:t>afin d’éventuellement ventiler l’effectif rendu vers des missions jugées plus prioritaire</w:t>
      </w:r>
      <w:r w:rsidR="00C82EBF" w:rsidRPr="00C82EBF">
        <w:rPr>
          <w:rFonts w:ascii="Calibri" w:hAnsi="Calibri" w:cs="Calibri"/>
        </w:rPr>
        <w:t>s ».</w:t>
      </w:r>
      <w:r w:rsidR="00C82EBF">
        <w:rPr>
          <w:rFonts w:ascii="Calibri" w:hAnsi="Calibri" w:cs="Calibri"/>
        </w:rPr>
        <w:t xml:space="preserve"> </w:t>
      </w:r>
    </w:p>
    <w:p w14:paraId="229AB268" w14:textId="7E0A4D9D" w:rsidR="00C82EBF" w:rsidRDefault="00C82EBF" w:rsidP="00DB5A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Certaines collectivités vont jusqu’à expérimenter des solutions « radicales », comme la Ville de Lille qui a choisi d’externaliser la gestion d’une crèche ou encore cette de Roanne, qui s’est résolue à diminuer de moitié la fréquence du nettoyage de bureaux. « Des choix souvent difficiles à porter politiquement », rapportent les élèves administrateurs.</w:t>
      </w:r>
    </w:p>
    <w:p w14:paraId="45E79280" w14:textId="37D92DDA" w:rsidR="00A527B7" w:rsidRDefault="00A527B7" w:rsidP="00DB5A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Anticipation tous azimuts</w:t>
      </w:r>
    </w:p>
    <w:p w14:paraId="68C4655A" w14:textId="07781F29" w:rsidR="00C82EBF" w:rsidRDefault="00C82EBF" w:rsidP="00DB5A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Ils préfèrent, de leur côté, préconiser plusieurs formes d’anticipation. D’abord par la structuration de l’accompagnement </w:t>
      </w:r>
      <w:r w:rsidR="003A0E3A">
        <w:rPr>
          <w:rFonts w:ascii="Calibri" w:hAnsi="Calibri" w:cs="Calibri"/>
        </w:rPr>
        <w:t>des agents</w:t>
      </w:r>
      <w:r>
        <w:rPr>
          <w:rFonts w:ascii="Calibri" w:hAnsi="Calibri" w:cs="Calibri"/>
        </w:rPr>
        <w:t xml:space="preserve"> vers l</w:t>
      </w:r>
      <w:r w:rsidR="003A0E3A">
        <w:rPr>
          <w:rFonts w:ascii="Calibri" w:hAnsi="Calibri" w:cs="Calibri"/>
        </w:rPr>
        <w:t>eur</w:t>
      </w:r>
      <w:r>
        <w:rPr>
          <w:rFonts w:ascii="Calibri" w:hAnsi="Calibri" w:cs="Calibri"/>
        </w:rPr>
        <w:t xml:space="preserve"> retraite, « au-delà de la simple information »</w:t>
      </w:r>
      <w:r w:rsidR="003A0E3A">
        <w:rPr>
          <w:rFonts w:ascii="Calibri" w:hAnsi="Calibri" w:cs="Calibri"/>
        </w:rPr>
        <w:t>, et par une réflexion sur l’avenir du poste, en amont de sa vacance, avec la direction « métier »</w:t>
      </w:r>
      <w:r>
        <w:rPr>
          <w:rFonts w:ascii="Calibri" w:hAnsi="Calibri" w:cs="Calibri"/>
        </w:rPr>
        <w:t>. Ensuite</w:t>
      </w:r>
      <w:r w:rsidR="00601649">
        <w:rPr>
          <w:rFonts w:ascii="Calibri" w:hAnsi="Calibri" w:cs="Calibri"/>
        </w:rPr>
        <w:t>, pour éviter la perte de connaissances,</w:t>
      </w:r>
      <w:r>
        <w:rPr>
          <w:rFonts w:ascii="Calibri" w:hAnsi="Calibri" w:cs="Calibri"/>
        </w:rPr>
        <w:t xml:space="preserve"> </w:t>
      </w:r>
      <w:r w:rsidR="00601649">
        <w:rPr>
          <w:rFonts w:ascii="Calibri" w:hAnsi="Calibri" w:cs="Calibri"/>
        </w:rPr>
        <w:t xml:space="preserve">ils recommandent </w:t>
      </w:r>
      <w:r>
        <w:rPr>
          <w:rFonts w:ascii="Calibri" w:hAnsi="Calibri" w:cs="Calibri"/>
        </w:rPr>
        <w:t>la mise en place de dispositifs de « tuilage » entre agent</w:t>
      </w:r>
      <w:r w:rsidR="00601649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proche du départ et </w:t>
      </w:r>
      <w:r w:rsidR="00601649">
        <w:rPr>
          <w:rFonts w:ascii="Calibri" w:hAnsi="Calibri" w:cs="Calibri"/>
        </w:rPr>
        <w:t>leurs</w:t>
      </w:r>
      <w:r>
        <w:rPr>
          <w:rFonts w:ascii="Calibri" w:hAnsi="Calibri" w:cs="Calibri"/>
        </w:rPr>
        <w:t xml:space="preserve"> futur</w:t>
      </w:r>
      <w:r w:rsidR="00601649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remplaçant</w:t>
      </w:r>
      <w:r w:rsidR="00601649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(</w:t>
      </w:r>
      <w:r w:rsidRPr="00C82EBF">
        <w:rPr>
          <w:rFonts w:ascii="Calibri" w:hAnsi="Calibri" w:cs="Calibri"/>
        </w:rPr>
        <w:t>tutorat</w:t>
      </w:r>
      <w:r>
        <w:rPr>
          <w:rFonts w:ascii="Calibri" w:hAnsi="Calibri" w:cs="Calibri"/>
        </w:rPr>
        <w:t xml:space="preserve">, </w:t>
      </w:r>
      <w:r w:rsidRPr="00C82EBF">
        <w:rPr>
          <w:rFonts w:ascii="Calibri" w:hAnsi="Calibri" w:cs="Calibri"/>
        </w:rPr>
        <w:t>mentorat</w:t>
      </w:r>
      <w:r>
        <w:rPr>
          <w:rFonts w:ascii="Calibri" w:hAnsi="Calibri" w:cs="Calibri"/>
        </w:rPr>
        <w:t>, recrutement spécifique d’apprentis)</w:t>
      </w:r>
      <w:r w:rsidR="00601649">
        <w:rPr>
          <w:rFonts w:ascii="Calibri" w:hAnsi="Calibri" w:cs="Calibri"/>
        </w:rPr>
        <w:t xml:space="preserve">, </w:t>
      </w:r>
      <w:r w:rsidR="003A0E3A">
        <w:rPr>
          <w:rFonts w:ascii="Calibri" w:hAnsi="Calibri" w:cs="Calibri"/>
        </w:rPr>
        <w:t>ainsi que</w:t>
      </w:r>
      <w:r w:rsidR="00601649">
        <w:rPr>
          <w:rFonts w:ascii="Calibri" w:hAnsi="Calibri" w:cs="Calibri"/>
        </w:rPr>
        <w:t xml:space="preserve"> </w:t>
      </w:r>
      <w:r w:rsidR="003A0E3A">
        <w:rPr>
          <w:rFonts w:ascii="Calibri" w:hAnsi="Calibri" w:cs="Calibri"/>
        </w:rPr>
        <w:t>le recensement</w:t>
      </w:r>
      <w:r w:rsidR="00601649">
        <w:rPr>
          <w:rFonts w:ascii="Calibri" w:hAnsi="Calibri" w:cs="Calibri"/>
        </w:rPr>
        <w:t xml:space="preserve"> formel </w:t>
      </w:r>
      <w:r w:rsidR="003A0E3A">
        <w:rPr>
          <w:rFonts w:ascii="Calibri" w:hAnsi="Calibri" w:cs="Calibri"/>
        </w:rPr>
        <w:t>d</w:t>
      </w:r>
      <w:r w:rsidR="00601649">
        <w:rPr>
          <w:rFonts w:ascii="Calibri" w:hAnsi="Calibri" w:cs="Calibri"/>
        </w:rPr>
        <w:t>es savoirs nécessaires à chaque poste.</w:t>
      </w:r>
    </w:p>
    <w:p w14:paraId="7D4A47D2" w14:textId="4D0B051F" w:rsidR="00312D9C" w:rsidRPr="00C82EBF" w:rsidRDefault="00312D9C" w:rsidP="00A527B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Pour les auteurs, enfin, la prévention de l’usure professionnelle et l’accompagnement des reclassements sont</w:t>
      </w:r>
      <w:r w:rsidR="003A0E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des moyens pour permettre aux agents de « mieux vieillir » au travail</w:t>
      </w:r>
      <w:r w:rsidR="003A0E3A">
        <w:rPr>
          <w:rFonts w:ascii="Calibri" w:hAnsi="Calibri" w:cs="Calibri"/>
        </w:rPr>
        <w:t xml:space="preserve"> et ainsi d’assumer leurs missions jusqu’au bout</w:t>
      </w:r>
      <w:r>
        <w:rPr>
          <w:rFonts w:ascii="Calibri" w:hAnsi="Calibri" w:cs="Calibri"/>
        </w:rPr>
        <w:t xml:space="preserve">. Ils </w:t>
      </w:r>
      <w:r w:rsidR="003A0E3A">
        <w:rPr>
          <w:rFonts w:ascii="Calibri" w:hAnsi="Calibri" w:cs="Calibri"/>
        </w:rPr>
        <w:t>mettent à ce titre en lumière</w:t>
      </w:r>
      <w:r w:rsidR="00A527B7">
        <w:rPr>
          <w:rFonts w:ascii="Calibri" w:hAnsi="Calibri" w:cs="Calibri"/>
        </w:rPr>
        <w:t xml:space="preserve"> de nombreux exemples.</w:t>
      </w:r>
    </w:p>
    <w:p w14:paraId="004713F0" w14:textId="77777777" w:rsidR="003A0E3A" w:rsidRPr="00C82EBF" w:rsidRDefault="003A0E3A">
      <w:pPr>
        <w:jc w:val="both"/>
        <w:rPr>
          <w:rFonts w:ascii="Calibri" w:hAnsi="Calibri" w:cs="Calibri"/>
        </w:rPr>
      </w:pPr>
    </w:p>
    <w:sectPr w:rsidR="003A0E3A" w:rsidRPr="00C8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73"/>
    <w:rsid w:val="000A44C0"/>
    <w:rsid w:val="000D0A0B"/>
    <w:rsid w:val="000E2A08"/>
    <w:rsid w:val="00241D73"/>
    <w:rsid w:val="00265670"/>
    <w:rsid w:val="00265D81"/>
    <w:rsid w:val="00291109"/>
    <w:rsid w:val="002A379D"/>
    <w:rsid w:val="002A5424"/>
    <w:rsid w:val="00312D9C"/>
    <w:rsid w:val="003A0E3A"/>
    <w:rsid w:val="004770F4"/>
    <w:rsid w:val="005C7A24"/>
    <w:rsid w:val="005F419C"/>
    <w:rsid w:val="00601649"/>
    <w:rsid w:val="0064616E"/>
    <w:rsid w:val="00697CA9"/>
    <w:rsid w:val="006B089E"/>
    <w:rsid w:val="00702297"/>
    <w:rsid w:val="009034B1"/>
    <w:rsid w:val="009834DB"/>
    <w:rsid w:val="00A527B7"/>
    <w:rsid w:val="00A9668B"/>
    <w:rsid w:val="00AF2D14"/>
    <w:rsid w:val="00AF5CEB"/>
    <w:rsid w:val="00C82EBF"/>
    <w:rsid w:val="00C86E6A"/>
    <w:rsid w:val="00D20C61"/>
    <w:rsid w:val="00D873A1"/>
    <w:rsid w:val="00D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B955"/>
  <w15:chartTrackingRefBased/>
  <w15:docId w15:val="{66BB04B5-F6FA-4D6E-804A-49485882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1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1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1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1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1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1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1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1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1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1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1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1D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1D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1D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1D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1D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1D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1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1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1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1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1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1D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1D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1D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1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1D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1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Vigne-Lepage</dc:creator>
  <cp:keywords/>
  <dc:description/>
  <cp:lastModifiedBy>Véronique Vigne-Lepage</cp:lastModifiedBy>
  <cp:revision>15</cp:revision>
  <dcterms:created xsi:type="dcterms:W3CDTF">2023-12-21T09:49:00Z</dcterms:created>
  <dcterms:modified xsi:type="dcterms:W3CDTF">2023-12-21T15:45:00Z</dcterms:modified>
</cp:coreProperties>
</file>