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Default="00363031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  <w:r w:rsidR="00A34A9B">
        <w:rPr>
          <w:rFonts w:ascii="Arial" w:hAnsi="Arial" w:cs="Arial"/>
          <w:b/>
          <w:bCs/>
          <w:sz w:val="32"/>
          <w:szCs w:val="32"/>
        </w:rPr>
        <w:t xml:space="preserve">    </w:t>
      </w:r>
    </w:p>
    <w:p w:rsidR="00EB213D" w:rsidRP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EB213D" w:rsidRDefault="0010229D" w:rsidP="00363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Accueil du public en MDD</w:t>
      </w:r>
      <w:r w:rsidR="00231336">
        <w:rPr>
          <w:b/>
          <w:sz w:val="32"/>
          <w:szCs w:val="32"/>
          <w:u w:val="single"/>
        </w:rPr>
        <w:t xml:space="preserve"> / MDA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Ce protocole regroupe les bonnes pratiques à m</w:t>
      </w:r>
      <w:r w:rsidR="00363031">
        <w:rPr>
          <w:rFonts w:ascii="Helvetica" w:hAnsi="Helvetica" w:cs="Helvetica"/>
        </w:rPr>
        <w:t xml:space="preserve">ettre en œuvre </w:t>
      </w:r>
      <w:r>
        <w:rPr>
          <w:rFonts w:ascii="Helvetica" w:hAnsi="Helvetica" w:cs="Helvetica"/>
        </w:rPr>
        <w:t>afin de limiter le risque de contamination des agents.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A34A9B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F1ED12" wp14:editId="6E20B170">
            <wp:simplePos x="0" y="0"/>
            <wp:positionH relativeFrom="column">
              <wp:posOffset>-554990</wp:posOffset>
            </wp:positionH>
            <wp:positionV relativeFrom="paragraph">
              <wp:posOffset>248920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59">
        <w:rPr>
          <w:noProof/>
          <w:lang w:eastAsia="fr-FR"/>
        </w:rPr>
        <mc:AlternateContent>
          <mc:Choice Requires="wps">
            <w:drawing>
              <wp:inline distT="0" distB="0" distL="0" distR="0" wp14:anchorId="57139D0D" wp14:editId="267CD1BE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A34A9B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D872D95" wp14:editId="65EC7283">
            <wp:simplePos x="0" y="0"/>
            <wp:positionH relativeFrom="column">
              <wp:posOffset>3654137</wp:posOffset>
            </wp:positionH>
            <wp:positionV relativeFrom="paragraph">
              <wp:posOffset>4445</wp:posOffset>
            </wp:positionV>
            <wp:extent cx="2836800" cy="1551600"/>
            <wp:effectExtent l="19050" t="19050" r="20955" b="1079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00" cy="155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FFB4D8A" wp14:editId="36DA6AF2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355A2" w:rsidRDefault="001355A2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355A2" w:rsidRDefault="001355A2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2FC2069" wp14:editId="0D741D09">
            <wp:extent cx="5760074" cy="3459193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9568" b="27527"/>
                    <a:stretch/>
                  </pic:blipFill>
                  <pic:spPr bwMode="auto">
                    <a:xfrm>
                      <a:off x="0" y="0"/>
                      <a:ext cx="5760720" cy="3459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5A2" w:rsidRDefault="001355A2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943B7" w:rsidRDefault="00F943B7" w:rsidP="00343719">
      <w:pPr>
        <w:contextualSpacing/>
        <w:rPr>
          <w:b/>
          <w:sz w:val="28"/>
          <w:u w:val="single"/>
        </w:rPr>
      </w:pPr>
    </w:p>
    <w:p w:rsidR="00343719" w:rsidRPr="005C37E4" w:rsidRDefault="00343719" w:rsidP="00343719">
      <w:pPr>
        <w:contextualSpacing/>
        <w:rPr>
          <w:b/>
          <w:sz w:val="28"/>
          <w:u w:val="single"/>
        </w:rPr>
      </w:pPr>
      <w:r w:rsidRPr="005C37E4">
        <w:rPr>
          <w:b/>
          <w:sz w:val="28"/>
          <w:u w:val="single"/>
        </w:rPr>
        <w:lastRenderedPageBreak/>
        <w:t>Accueil du public :</w:t>
      </w:r>
    </w:p>
    <w:p w:rsidR="00343719" w:rsidRPr="00391315" w:rsidRDefault="00343719" w:rsidP="00343719">
      <w:pPr>
        <w:contextualSpacing/>
        <w:rPr>
          <w:sz w:val="24"/>
        </w:rPr>
      </w:pPr>
    </w:p>
    <w:p w:rsidR="0062222A" w:rsidRDefault="00343719" w:rsidP="0034371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 xml:space="preserve">Affichage fort et visible des consignes sanitaires à </w:t>
      </w:r>
      <w:r w:rsidR="0062222A">
        <w:rPr>
          <w:rFonts w:ascii="Arial" w:hAnsi="Arial" w:cs="Arial"/>
        </w:rPr>
        <w:t>l’entrée du site ou du bâtiment</w:t>
      </w:r>
    </w:p>
    <w:p w:rsidR="0062222A" w:rsidRDefault="00343719" w:rsidP="0034371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 xml:space="preserve">Limiter le nombre d’usagers présents par la prise de </w:t>
      </w:r>
      <w:r w:rsidR="0062222A">
        <w:rPr>
          <w:rFonts w:ascii="Arial" w:hAnsi="Arial" w:cs="Arial"/>
        </w:rPr>
        <w:t>rendez-vous uniquement</w:t>
      </w:r>
    </w:p>
    <w:p w:rsidR="0062222A" w:rsidRDefault="00343719" w:rsidP="0034371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>Mettre en place un dispositif visuel de circulation avec barrières ou marquage au sol de manière à conserver les distances minimales</w:t>
      </w:r>
    </w:p>
    <w:p w:rsidR="0062222A" w:rsidRDefault="00195383" w:rsidP="0034371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>L</w:t>
      </w:r>
      <w:r w:rsidR="00343719" w:rsidRPr="0062222A">
        <w:rPr>
          <w:rFonts w:ascii="Arial" w:hAnsi="Arial" w:cs="Arial"/>
        </w:rPr>
        <w:t>’agent</w:t>
      </w:r>
      <w:r w:rsidRPr="0062222A">
        <w:rPr>
          <w:rFonts w:ascii="Arial" w:hAnsi="Arial" w:cs="Arial"/>
        </w:rPr>
        <w:t xml:space="preserve"> d’accueil doit être séparé de l</w:t>
      </w:r>
      <w:r w:rsidR="00343719" w:rsidRPr="0062222A">
        <w:rPr>
          <w:rFonts w:ascii="Arial" w:hAnsi="Arial" w:cs="Arial"/>
        </w:rPr>
        <w:t>’usager au moyen de plexiglass, verre ou film plastique (à défaut, utilisation de visiè</w:t>
      </w:r>
      <w:r w:rsidR="002C6675" w:rsidRPr="0062222A">
        <w:rPr>
          <w:rFonts w:ascii="Arial" w:hAnsi="Arial" w:cs="Arial"/>
        </w:rPr>
        <w:t>re individuelle avec masque tissu, ou masque FFP2,</w:t>
      </w:r>
      <w:r w:rsidR="00343719" w:rsidRPr="0062222A">
        <w:rPr>
          <w:rFonts w:ascii="Arial" w:hAnsi="Arial" w:cs="Arial"/>
        </w:rPr>
        <w:t xml:space="preserve"> ou tout autre moyen d’établir une barrière physique)</w:t>
      </w:r>
    </w:p>
    <w:p w:rsidR="00F52544" w:rsidRPr="00F52544" w:rsidRDefault="00D466AA" w:rsidP="00F52544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>L’agent d’accueil fournit un masque chirurgical à l’usager qui n’en possède pas (</w:t>
      </w:r>
      <w:r w:rsidRPr="0062222A">
        <w:rPr>
          <w:rFonts w:ascii="Arial" w:hAnsi="Arial" w:cs="Arial"/>
          <w:b/>
        </w:rPr>
        <w:t>obligatoire</w:t>
      </w:r>
      <w:r w:rsidRPr="00F52544">
        <w:rPr>
          <w:rFonts w:ascii="Arial" w:hAnsi="Arial" w:cs="Arial"/>
        </w:rPr>
        <w:t>)</w:t>
      </w:r>
      <w:r w:rsidR="00EE5DAD" w:rsidRPr="00F52544">
        <w:rPr>
          <w:rFonts w:ascii="Arial" w:hAnsi="Arial" w:cs="Arial"/>
        </w:rPr>
        <w:t>.</w:t>
      </w:r>
      <w:r w:rsidR="00F52544" w:rsidRPr="00F52544">
        <w:rPr>
          <w:b/>
          <w:sz w:val="24"/>
          <w:szCs w:val="24"/>
        </w:rPr>
        <w:t xml:space="preserve"> </w:t>
      </w:r>
      <w:r w:rsidR="00F52544" w:rsidRPr="00F52544">
        <w:rPr>
          <w:rFonts w:ascii="Arial" w:hAnsi="Arial" w:cs="Arial"/>
          <w:b/>
        </w:rPr>
        <w:t>En cas de refus du port du masque par l’usager, celui-ci ne sera pas reçu par les services</w:t>
      </w:r>
      <w:r w:rsidR="00F52544" w:rsidRPr="00F52544">
        <w:rPr>
          <w:rFonts w:ascii="Arial" w:hAnsi="Arial" w:cs="Arial"/>
        </w:rPr>
        <w:t>.</w:t>
      </w:r>
    </w:p>
    <w:p w:rsidR="00D466AA" w:rsidRPr="0062222A" w:rsidRDefault="00D466AA" w:rsidP="0034371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</w:p>
    <w:p w:rsidR="00EE5DAD" w:rsidRPr="0062222A" w:rsidRDefault="00EE5DAD" w:rsidP="00343719">
      <w:pPr>
        <w:contextualSpacing/>
        <w:rPr>
          <w:rFonts w:ascii="Arial" w:hAnsi="Arial" w:cs="Arial"/>
        </w:rPr>
      </w:pPr>
      <w:r w:rsidRPr="0062222A">
        <w:rPr>
          <w:rFonts w:ascii="Arial" w:hAnsi="Arial" w:cs="Arial"/>
          <w:b/>
        </w:rPr>
        <w:t>En cas de refus du port du masque par l’usager, celui-ci ne sera pas reçu par les services</w:t>
      </w:r>
      <w:r w:rsidRPr="0062222A">
        <w:rPr>
          <w:rFonts w:ascii="Arial" w:hAnsi="Arial" w:cs="Arial"/>
        </w:rPr>
        <w:t>.</w:t>
      </w:r>
    </w:p>
    <w:p w:rsidR="0062222A" w:rsidRDefault="00195383" w:rsidP="00343719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>L’agent d’accueil procède</w:t>
      </w:r>
      <w:r w:rsidR="00343719" w:rsidRPr="0062222A">
        <w:rPr>
          <w:rFonts w:ascii="Arial" w:hAnsi="Arial" w:cs="Arial"/>
        </w:rPr>
        <w:t xml:space="preserve"> à un nettoyage régulier au moyen de désinfectant, toutes les 2h des surfaces de contact telles que le comptoir, poste de travail, écran de protection…</w:t>
      </w:r>
    </w:p>
    <w:p w:rsidR="0062222A" w:rsidRDefault="00343719" w:rsidP="00343719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>Mettre à disposition des flacons de solution hydro alcoolique à proximité des surfaces de contact</w:t>
      </w:r>
    </w:p>
    <w:p w:rsidR="0062222A" w:rsidRDefault="00343719" w:rsidP="00343719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 xml:space="preserve">Limiter à 1 le nombre d’accompagnant </w:t>
      </w:r>
      <w:r w:rsidR="00195383" w:rsidRPr="0062222A">
        <w:rPr>
          <w:rFonts w:ascii="Arial" w:hAnsi="Arial" w:cs="Arial"/>
        </w:rPr>
        <w:t>dans la mesure du possible</w:t>
      </w:r>
      <w:r w:rsidR="00211CD4" w:rsidRPr="0062222A">
        <w:rPr>
          <w:rFonts w:ascii="Arial" w:hAnsi="Arial" w:cs="Arial"/>
        </w:rPr>
        <w:t xml:space="preserve"> en affichant la règle dès l’entrée du site</w:t>
      </w:r>
    </w:p>
    <w:p w:rsidR="0062222A" w:rsidRDefault="002A3263" w:rsidP="00343719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>U</w:t>
      </w:r>
      <w:r w:rsidR="00343719" w:rsidRPr="0062222A">
        <w:rPr>
          <w:rFonts w:ascii="Arial" w:hAnsi="Arial" w:cs="Arial"/>
        </w:rPr>
        <w:t xml:space="preserve">sage d’un stylo : </w:t>
      </w:r>
      <w:r w:rsidR="00211CD4" w:rsidRPr="0062222A">
        <w:rPr>
          <w:rFonts w:ascii="Arial" w:hAnsi="Arial" w:cs="Arial"/>
        </w:rPr>
        <w:t>mise à disposition d’un stylo uniquement réservé aux usagers et le désinfecter à chaque usage</w:t>
      </w:r>
    </w:p>
    <w:p w:rsidR="00993F89" w:rsidRPr="0062222A" w:rsidRDefault="00343719" w:rsidP="00343719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62222A">
        <w:rPr>
          <w:rFonts w:ascii="Arial" w:hAnsi="Arial" w:cs="Arial"/>
        </w:rPr>
        <w:t xml:space="preserve">Signature de documents, registres, échanges de documents : mettre du gel HA  à disposition </w:t>
      </w:r>
    </w:p>
    <w:p w:rsidR="00F44385" w:rsidRDefault="00F44385" w:rsidP="00343719">
      <w:pPr>
        <w:contextualSpacing/>
        <w:rPr>
          <w:sz w:val="24"/>
          <w:szCs w:val="24"/>
        </w:rPr>
      </w:pPr>
    </w:p>
    <w:p w:rsidR="00343719" w:rsidRDefault="00343719" w:rsidP="00343719">
      <w:pPr>
        <w:contextualSpacing/>
        <w:rPr>
          <w:b/>
          <w:sz w:val="28"/>
          <w:szCs w:val="24"/>
          <w:u w:val="single"/>
        </w:rPr>
      </w:pPr>
      <w:r w:rsidRPr="00FB426E">
        <w:rPr>
          <w:b/>
          <w:sz w:val="28"/>
          <w:szCs w:val="24"/>
          <w:u w:val="single"/>
        </w:rPr>
        <w:t>Salle d’attente :</w:t>
      </w:r>
    </w:p>
    <w:p w:rsidR="00343719" w:rsidRPr="00391315" w:rsidRDefault="00343719" w:rsidP="00343719">
      <w:pPr>
        <w:contextualSpacing/>
        <w:rPr>
          <w:b/>
          <w:sz w:val="24"/>
          <w:szCs w:val="24"/>
          <w:u w:val="single"/>
        </w:rPr>
      </w:pPr>
    </w:p>
    <w:p w:rsidR="00F52544" w:rsidRDefault="00343719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>Afficher les consignes sanitaires gouvernementales</w:t>
      </w:r>
    </w:p>
    <w:p w:rsidR="00F52544" w:rsidRDefault="00343719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>Mettre à disposition des mouchoirs à usage unique, des poubelles munies de sacs et d’un couvercle, une solution hydro alcoolique pour le lavage des mains</w:t>
      </w:r>
    </w:p>
    <w:p w:rsidR="00F52544" w:rsidRDefault="00343719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>Vider les poubelles</w:t>
      </w:r>
      <w:r w:rsidR="00D46E58" w:rsidRPr="00F52544">
        <w:rPr>
          <w:rFonts w:ascii="Arial" w:hAnsi="Arial" w:cs="Arial"/>
        </w:rPr>
        <w:t xml:space="preserve">, et stocker les sacs 24h (dans </w:t>
      </w:r>
      <w:proofErr w:type="gramStart"/>
      <w:r w:rsidR="00D46E58" w:rsidRPr="00F52544">
        <w:rPr>
          <w:rFonts w:ascii="Arial" w:hAnsi="Arial" w:cs="Arial"/>
        </w:rPr>
        <w:t>un local</w:t>
      </w:r>
      <w:proofErr w:type="gramEnd"/>
      <w:r w:rsidR="00D46E58" w:rsidRPr="00F52544">
        <w:rPr>
          <w:rFonts w:ascii="Arial" w:hAnsi="Arial" w:cs="Arial"/>
        </w:rPr>
        <w:t xml:space="preserve"> </w:t>
      </w:r>
      <w:r w:rsidR="00414DAE" w:rsidRPr="00F52544">
        <w:rPr>
          <w:rFonts w:ascii="Arial" w:hAnsi="Arial" w:cs="Arial"/>
        </w:rPr>
        <w:t>poubelle</w:t>
      </w:r>
      <w:r w:rsidR="00D46E58" w:rsidRPr="00F52544">
        <w:rPr>
          <w:rFonts w:ascii="Arial" w:hAnsi="Arial" w:cs="Arial"/>
        </w:rPr>
        <w:t>) avant de les éliminer avec les ordures courantes</w:t>
      </w:r>
    </w:p>
    <w:p w:rsidR="00F52544" w:rsidRDefault="00343719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>Supprimer les objets inutiles (livres, jouets enfants…)</w:t>
      </w:r>
    </w:p>
    <w:p w:rsidR="00F52544" w:rsidRDefault="00343719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>Aé</w:t>
      </w:r>
      <w:r w:rsidR="00195383" w:rsidRPr="00F52544">
        <w:rPr>
          <w:rFonts w:ascii="Arial" w:hAnsi="Arial" w:cs="Arial"/>
        </w:rPr>
        <w:t>rer la salle dans la mesure du possible</w:t>
      </w:r>
    </w:p>
    <w:p w:rsidR="00F52544" w:rsidRDefault="00F44385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>Supprimer</w:t>
      </w:r>
      <w:r w:rsidR="00343719" w:rsidRPr="00F52544">
        <w:rPr>
          <w:rFonts w:ascii="Arial" w:hAnsi="Arial" w:cs="Arial"/>
        </w:rPr>
        <w:t xml:space="preserve"> une chaise sur deux pour conserver les distances </w:t>
      </w:r>
    </w:p>
    <w:p w:rsidR="00F52544" w:rsidRDefault="00343719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>Mettre une solution hydro alcoolique à proximité de la fontaine à eau</w:t>
      </w:r>
      <w:r w:rsidR="0041731B" w:rsidRPr="00F52544">
        <w:rPr>
          <w:rFonts w:ascii="Arial" w:hAnsi="Arial" w:cs="Arial"/>
        </w:rPr>
        <w:t>.</w:t>
      </w:r>
    </w:p>
    <w:p w:rsidR="00343719" w:rsidRDefault="00E52E5E" w:rsidP="00343719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F52544">
        <w:rPr>
          <w:rFonts w:ascii="Arial" w:hAnsi="Arial" w:cs="Arial"/>
        </w:rPr>
        <w:t xml:space="preserve">Mettre à disposition du savon dans les WC publics, ainsi qu’une solution hydro </w:t>
      </w:r>
      <w:r w:rsidR="00195383" w:rsidRPr="00F52544">
        <w:rPr>
          <w:rFonts w:ascii="Arial" w:hAnsi="Arial" w:cs="Arial"/>
        </w:rPr>
        <w:t xml:space="preserve">alcoolique en sortie. </w:t>
      </w:r>
    </w:p>
    <w:p w:rsidR="004958BC" w:rsidRPr="00F52544" w:rsidRDefault="004958BC" w:rsidP="004958BC">
      <w:pPr>
        <w:pStyle w:val="Paragraphedeliste"/>
        <w:rPr>
          <w:rFonts w:ascii="Arial" w:hAnsi="Arial" w:cs="Arial"/>
        </w:rPr>
      </w:pPr>
      <w:bookmarkStart w:id="0" w:name="_GoBack"/>
      <w:bookmarkEnd w:id="0"/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56A4D" w:rsidRDefault="00A56A4D" w:rsidP="00A56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EPI Covid-19 nécessaires</w:t>
      </w:r>
    </w:p>
    <w:p w:rsidR="00A56A4D" w:rsidRDefault="00A56A4D" w:rsidP="00A56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56A4D" w:rsidRDefault="00A56A4D" w:rsidP="00A56A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Masque</w:t>
      </w:r>
      <w:r w:rsidR="001F594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1F5947">
        <w:rPr>
          <w:rFonts w:ascii="Arial" w:hAnsi="Arial" w:cs="Arial"/>
          <w:b/>
          <w:bCs/>
        </w:rPr>
        <w:t>chirurgicaux</w:t>
      </w:r>
      <w:r>
        <w:rPr>
          <w:rFonts w:ascii="Arial" w:hAnsi="Arial" w:cs="Arial"/>
          <w:b/>
          <w:bCs/>
        </w:rPr>
        <w:t xml:space="preserve"> </w:t>
      </w:r>
      <w:r w:rsidRPr="00A56A4D">
        <w:rPr>
          <w:rFonts w:ascii="Arial" w:hAnsi="Arial" w:cs="Arial"/>
          <w:bCs/>
        </w:rPr>
        <w:t>pour les visiteurs</w:t>
      </w:r>
    </w:p>
    <w:p w:rsidR="00A56A4D" w:rsidRDefault="002A3263" w:rsidP="00A56A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Plaque plexiglass ou visière</w:t>
      </w:r>
      <w:r w:rsidR="00A56A4D">
        <w:rPr>
          <w:rFonts w:ascii="Arial" w:hAnsi="Arial" w:cs="Arial"/>
          <w:bCs/>
        </w:rPr>
        <w:t xml:space="preserve"> </w:t>
      </w:r>
      <w:r w:rsidR="00F943B7">
        <w:rPr>
          <w:rFonts w:ascii="Arial" w:hAnsi="Arial" w:cs="Arial"/>
          <w:bCs/>
        </w:rPr>
        <w:t xml:space="preserve">à </w:t>
      </w:r>
      <w:r>
        <w:rPr>
          <w:rFonts w:ascii="Arial" w:hAnsi="Arial" w:cs="Arial"/>
          <w:bCs/>
        </w:rPr>
        <w:t xml:space="preserve">l’accueil du </w:t>
      </w:r>
      <w:r w:rsidR="00A56A4D">
        <w:rPr>
          <w:rFonts w:ascii="Arial" w:hAnsi="Arial" w:cs="Arial"/>
          <w:bCs/>
        </w:rPr>
        <w:t>public</w:t>
      </w:r>
    </w:p>
    <w:p w:rsidR="00A56A4D" w:rsidRDefault="002A3263" w:rsidP="00A56A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Masques </w:t>
      </w:r>
      <w:r w:rsidRPr="002A3263">
        <w:rPr>
          <w:rFonts w:ascii="Arial" w:hAnsi="Arial" w:cs="Arial"/>
          <w:b/>
          <w:bCs/>
        </w:rPr>
        <w:t>tissu</w:t>
      </w:r>
      <w:r>
        <w:rPr>
          <w:rFonts w:ascii="Arial" w:hAnsi="Arial" w:cs="Arial"/>
          <w:bCs/>
        </w:rPr>
        <w:t xml:space="preserve"> ou </w:t>
      </w:r>
      <w:r w:rsidRPr="002A3263">
        <w:rPr>
          <w:rFonts w:ascii="Arial" w:hAnsi="Arial" w:cs="Arial"/>
          <w:b/>
          <w:bCs/>
        </w:rPr>
        <w:t>FFP2</w:t>
      </w:r>
    </w:p>
    <w:p w:rsidR="00A56A4D" w:rsidRDefault="00A56A4D" w:rsidP="00A56A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Gel Hydro Alcoolique </w:t>
      </w:r>
      <w:r w:rsidR="00DF4FDC">
        <w:rPr>
          <w:rFonts w:ascii="Arial" w:hAnsi="Arial" w:cs="Arial"/>
          <w:b/>
          <w:bCs/>
        </w:rPr>
        <w:t>en grand contenant</w:t>
      </w:r>
    </w:p>
    <w:p w:rsidR="00436892" w:rsidRPr="00DF4FDC" w:rsidRDefault="00A56A4D" w:rsidP="006831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85592">
        <w:rPr>
          <w:rFonts w:ascii="Arial" w:hAnsi="Arial" w:cs="Arial"/>
          <w:bCs/>
        </w:rPr>
        <w:t xml:space="preserve">Produit désinfectant </w:t>
      </w:r>
      <w:r w:rsidRPr="00285592">
        <w:rPr>
          <w:rFonts w:ascii="Arial" w:hAnsi="Arial" w:cs="Arial"/>
          <w:b/>
          <w:bCs/>
        </w:rPr>
        <w:t>spray / lingettes</w:t>
      </w:r>
    </w:p>
    <w:p w:rsidR="00285592" w:rsidRDefault="00285592" w:rsidP="006831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Poubelle </w:t>
      </w:r>
      <w:r w:rsidR="00477215" w:rsidRPr="00477215">
        <w:rPr>
          <w:rFonts w:ascii="Arial" w:hAnsi="Arial" w:cs="Arial"/>
          <w:bCs/>
        </w:rPr>
        <w:t>munie d’un couvercle</w:t>
      </w:r>
      <w:r w:rsidR="00477215">
        <w:rPr>
          <w:rFonts w:ascii="Arial" w:hAnsi="Arial" w:cs="Arial"/>
          <w:b/>
          <w:bCs/>
        </w:rPr>
        <w:t xml:space="preserve"> </w:t>
      </w:r>
      <w:r w:rsidRPr="00285592">
        <w:rPr>
          <w:rFonts w:ascii="Arial" w:hAnsi="Arial" w:cs="Arial"/>
          <w:bCs/>
        </w:rPr>
        <w:t>avec sacs</w:t>
      </w:r>
    </w:p>
    <w:p w:rsidR="00901971" w:rsidRPr="00DF4FDC" w:rsidRDefault="00901971" w:rsidP="006831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F4FDC">
        <w:rPr>
          <w:rFonts w:ascii="Arial" w:hAnsi="Arial" w:cs="Arial"/>
        </w:rPr>
        <w:t>Mouchoirs à usage unique</w:t>
      </w:r>
    </w:p>
    <w:p w:rsidR="00436892" w:rsidRDefault="00436892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0E4580" w:rsidRDefault="000E4580" w:rsidP="000E4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A30A8" w:rsidRDefault="005A30A8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90417A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F5254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52544">
        <w:rPr>
          <w:rFonts w:ascii="Arial" w:hAnsi="Arial" w:cs="Arial"/>
          <w:b/>
        </w:rPr>
        <w:t>Appliquer les gestes barrières</w:t>
      </w:r>
    </w:p>
    <w:p w:rsidR="0090417A" w:rsidRPr="00F52544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417A" w:rsidRPr="00F5254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52544">
        <w:rPr>
          <w:rFonts w:ascii="Arial" w:hAnsi="Arial" w:cs="Arial"/>
          <w:b/>
        </w:rPr>
        <w:t>Afficher les consignes d</w:t>
      </w:r>
      <w:r w:rsidR="0010229D" w:rsidRPr="00F52544">
        <w:rPr>
          <w:rFonts w:ascii="Arial" w:hAnsi="Arial" w:cs="Arial"/>
          <w:b/>
        </w:rPr>
        <w:t>ans les lieux de vie</w:t>
      </w:r>
    </w:p>
    <w:p w:rsidR="0090417A" w:rsidRPr="00F52544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F5254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2544">
        <w:rPr>
          <w:rFonts w:ascii="Arial" w:hAnsi="Arial" w:cs="Arial"/>
          <w:b/>
        </w:rPr>
        <w:t>S’assurer de la</w:t>
      </w:r>
      <w:r w:rsidRPr="00F52544">
        <w:rPr>
          <w:rFonts w:ascii="Arial" w:hAnsi="Arial" w:cs="Arial"/>
        </w:rPr>
        <w:t xml:space="preserve"> </w:t>
      </w:r>
      <w:r w:rsidRPr="00F52544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F52544">
        <w:rPr>
          <w:rFonts w:ascii="Arial" w:hAnsi="Arial" w:cs="Arial"/>
          <w:color w:val="000000"/>
        </w:rPr>
        <w:t>à l’hygiène, et de l’accès à l’eau</w:t>
      </w:r>
    </w:p>
    <w:p w:rsidR="0090417A" w:rsidRPr="00F52544" w:rsidRDefault="0090417A" w:rsidP="0090417A">
      <w:pPr>
        <w:pStyle w:val="Paragraphedeliste"/>
        <w:rPr>
          <w:rFonts w:ascii="Arial" w:hAnsi="Arial" w:cs="Arial"/>
        </w:rPr>
      </w:pPr>
    </w:p>
    <w:p w:rsidR="0090417A" w:rsidRPr="00F5254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2544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F52544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DE065F" w:rsidRPr="00F52544" w:rsidRDefault="0090417A" w:rsidP="00DE065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Arial" w:hAnsi="Arial" w:cs="Arial"/>
        </w:rPr>
      </w:pPr>
      <w:r w:rsidRPr="00F52544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F52544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  <w:r w:rsidR="00DE065F" w:rsidRPr="00F52544">
        <w:rPr>
          <w:rFonts w:ascii="Arial" w:hAnsi="Arial" w:cs="Arial"/>
          <w:color w:val="000000"/>
        </w:rPr>
        <w:t xml:space="preserve">. </w:t>
      </w:r>
    </w:p>
    <w:p w:rsidR="00DE065F" w:rsidRPr="00F52544" w:rsidRDefault="00DE065F" w:rsidP="00DE065F">
      <w:pPr>
        <w:ind w:left="641"/>
        <w:rPr>
          <w:rFonts w:ascii="Arial" w:hAnsi="Arial" w:cs="Arial"/>
        </w:rPr>
      </w:pPr>
      <w:r w:rsidRPr="00F52544">
        <w:rPr>
          <w:rFonts w:ascii="Arial" w:hAnsi="Arial" w:cs="Arial"/>
        </w:rPr>
        <w:t xml:space="preserve">Ces éléments peuvent être transmis au service prévention via l’adresse mail </w:t>
      </w:r>
      <w:hyperlink r:id="rId12" w:history="1">
        <w:r w:rsidR="00C15052" w:rsidRPr="00F52544">
          <w:rPr>
            <w:rStyle w:val="Lienhypertexte"/>
            <w:rFonts w:ascii="Arial" w:hAnsi="Arial" w:cs="Arial"/>
          </w:rPr>
          <w:t>santesecurite@loiret.fr</w:t>
        </w:r>
      </w:hyperlink>
    </w:p>
    <w:p w:rsidR="00DE065F" w:rsidRPr="00DE065F" w:rsidRDefault="00DE065F" w:rsidP="00DE065F">
      <w:pPr>
        <w:ind w:left="641"/>
        <w:rPr>
          <w:rFonts w:cs="Arial"/>
        </w:rPr>
      </w:pPr>
    </w:p>
    <w:p w:rsidR="00DE065F" w:rsidRPr="00DE065F" w:rsidRDefault="00DE065F" w:rsidP="00DE065F">
      <w:pPr>
        <w:pStyle w:val="Paragraphedeliste"/>
        <w:autoSpaceDE w:val="0"/>
        <w:autoSpaceDN w:val="0"/>
        <w:adjustRightInd w:val="0"/>
        <w:spacing w:after="0" w:line="240" w:lineRule="auto"/>
        <w:ind w:left="641"/>
        <w:rPr>
          <w:rFonts w:ascii="Arial" w:hAnsi="Arial" w:cs="Arial"/>
        </w:rPr>
      </w:pPr>
    </w:p>
    <w:p w:rsidR="00DA68F7" w:rsidRPr="00DA68F7" w:rsidRDefault="00DA68F7" w:rsidP="00DA68F7">
      <w:pPr>
        <w:pStyle w:val="Paragraphedeliste"/>
        <w:rPr>
          <w:rFonts w:ascii="Arial" w:hAnsi="Arial" w:cs="Arial"/>
        </w:rPr>
      </w:pPr>
    </w:p>
    <w:sectPr w:rsidR="00DA68F7" w:rsidRPr="00DA68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2A" w:rsidRDefault="0062222A" w:rsidP="002D6947">
      <w:pPr>
        <w:spacing w:after="0" w:line="240" w:lineRule="auto"/>
      </w:pPr>
      <w:r>
        <w:separator/>
      </w:r>
    </w:p>
  </w:endnote>
  <w:endnote w:type="continuationSeparator" w:id="0">
    <w:p w:rsidR="0062222A" w:rsidRDefault="0062222A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2A" w:rsidRDefault="006222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2A" w:rsidRDefault="006222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2A" w:rsidRDefault="006222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2A" w:rsidRDefault="0062222A" w:rsidP="002D6947">
      <w:pPr>
        <w:spacing w:after="0" w:line="240" w:lineRule="auto"/>
      </w:pPr>
      <w:r>
        <w:separator/>
      </w:r>
    </w:p>
  </w:footnote>
  <w:footnote w:type="continuationSeparator" w:id="0">
    <w:p w:rsidR="0062222A" w:rsidRDefault="0062222A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2A" w:rsidRDefault="006222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2A" w:rsidRDefault="0062222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2A" w:rsidRDefault="006222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AC729BB"/>
    <w:multiLevelType w:val="hybridMultilevel"/>
    <w:tmpl w:val="401E1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2648E"/>
    <w:multiLevelType w:val="hybridMultilevel"/>
    <w:tmpl w:val="D6C84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D1859"/>
    <w:multiLevelType w:val="hybridMultilevel"/>
    <w:tmpl w:val="817CE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46755"/>
    <w:multiLevelType w:val="hybridMultilevel"/>
    <w:tmpl w:val="800C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204CC"/>
    <w:multiLevelType w:val="hybridMultilevel"/>
    <w:tmpl w:val="CC8CBFE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33796"/>
    <w:rsid w:val="000E4580"/>
    <w:rsid w:val="0010229D"/>
    <w:rsid w:val="001355A2"/>
    <w:rsid w:val="00195383"/>
    <w:rsid w:val="001F5947"/>
    <w:rsid w:val="00211CD4"/>
    <w:rsid w:val="00231336"/>
    <w:rsid w:val="00273B89"/>
    <w:rsid w:val="00285592"/>
    <w:rsid w:val="002A3263"/>
    <w:rsid w:val="002B1D15"/>
    <w:rsid w:val="002C6675"/>
    <w:rsid w:val="002D08D8"/>
    <w:rsid w:val="002D6947"/>
    <w:rsid w:val="00323479"/>
    <w:rsid w:val="00343719"/>
    <w:rsid w:val="00363031"/>
    <w:rsid w:val="00395D1C"/>
    <w:rsid w:val="003D225F"/>
    <w:rsid w:val="003E12EB"/>
    <w:rsid w:val="003F160A"/>
    <w:rsid w:val="00413FB5"/>
    <w:rsid w:val="00414DAE"/>
    <w:rsid w:val="0041731B"/>
    <w:rsid w:val="00436892"/>
    <w:rsid w:val="0047062A"/>
    <w:rsid w:val="00477215"/>
    <w:rsid w:val="004958BC"/>
    <w:rsid w:val="00502D25"/>
    <w:rsid w:val="00525D3B"/>
    <w:rsid w:val="005A30A8"/>
    <w:rsid w:val="0062222A"/>
    <w:rsid w:val="00683118"/>
    <w:rsid w:val="006E2B7D"/>
    <w:rsid w:val="006F6B8F"/>
    <w:rsid w:val="0070249D"/>
    <w:rsid w:val="0078457A"/>
    <w:rsid w:val="00796C6D"/>
    <w:rsid w:val="007F559C"/>
    <w:rsid w:val="008D117C"/>
    <w:rsid w:val="008F7059"/>
    <w:rsid w:val="00901971"/>
    <w:rsid w:val="0090417A"/>
    <w:rsid w:val="00946389"/>
    <w:rsid w:val="00993F89"/>
    <w:rsid w:val="0099658B"/>
    <w:rsid w:val="00A34A9B"/>
    <w:rsid w:val="00A56A4D"/>
    <w:rsid w:val="00AE371D"/>
    <w:rsid w:val="00BE623D"/>
    <w:rsid w:val="00C00928"/>
    <w:rsid w:val="00C15052"/>
    <w:rsid w:val="00C6046A"/>
    <w:rsid w:val="00C616AF"/>
    <w:rsid w:val="00C85B82"/>
    <w:rsid w:val="00D466AA"/>
    <w:rsid w:val="00D46E58"/>
    <w:rsid w:val="00D95EE5"/>
    <w:rsid w:val="00DA68F7"/>
    <w:rsid w:val="00DE065F"/>
    <w:rsid w:val="00DF4FDC"/>
    <w:rsid w:val="00E52E5E"/>
    <w:rsid w:val="00EB213D"/>
    <w:rsid w:val="00EE5DAD"/>
    <w:rsid w:val="00EF6C14"/>
    <w:rsid w:val="00F2618F"/>
    <w:rsid w:val="00F44385"/>
    <w:rsid w:val="00F52544"/>
    <w:rsid w:val="00F943B7"/>
    <w:rsid w:val="00FB425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E0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E0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ntesecurite@loiret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1481F4A6.dotm</Template>
  <TotalTime>1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2</cp:revision>
  <dcterms:created xsi:type="dcterms:W3CDTF">2020-05-05T09:14:00Z</dcterms:created>
  <dcterms:modified xsi:type="dcterms:W3CDTF">2020-05-05T09:14:00Z</dcterms:modified>
</cp:coreProperties>
</file>