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E8" w:rsidRPr="00495FBC" w:rsidRDefault="000509E8" w:rsidP="00097799">
      <w:pPr>
        <w:spacing w:line="240" w:lineRule="auto"/>
        <w:rPr>
          <w:rFonts w:ascii="Verdana" w:hAnsi="Verdana"/>
          <w:b/>
          <w:sz w:val="18"/>
          <w:szCs w:val="18"/>
          <w:lang w:val="en-GB"/>
        </w:rPr>
      </w:pPr>
    </w:p>
    <w:p w:rsidR="000509E8" w:rsidRPr="00FD6DB8" w:rsidRDefault="000509E8" w:rsidP="00097799">
      <w:pPr>
        <w:spacing w:line="240" w:lineRule="auto"/>
        <w:jc w:val="center"/>
        <w:rPr>
          <w:rFonts w:ascii="Verdana" w:hAnsi="Verdana"/>
          <w:b/>
          <w:sz w:val="30"/>
          <w:szCs w:val="30"/>
          <w:u w:val="single"/>
          <w:lang w:val="en-GB"/>
        </w:rPr>
      </w:pPr>
      <w:r w:rsidRPr="00FD6DB8">
        <w:rPr>
          <w:rFonts w:ascii="Verdana" w:hAnsi="Verdana"/>
          <w:b/>
          <w:sz w:val="30"/>
          <w:szCs w:val="30"/>
          <w:u w:val="single"/>
          <w:lang w:val="en-GB"/>
        </w:rPr>
        <w:t>Annexes</w:t>
      </w:r>
    </w:p>
    <w:p w:rsidR="000509E8" w:rsidRDefault="000509E8" w:rsidP="00097799">
      <w:pPr>
        <w:spacing w:line="240" w:lineRule="auto"/>
        <w:jc w:val="center"/>
        <w:rPr>
          <w:rFonts w:ascii="Verdana" w:hAnsi="Verdana"/>
          <w:b/>
          <w:sz w:val="30"/>
          <w:szCs w:val="30"/>
          <w:lang w:val="en-GB"/>
        </w:rPr>
      </w:pPr>
      <w:r>
        <w:rPr>
          <w:rFonts w:ascii="Verdana" w:hAnsi="Verdana"/>
          <w:b/>
          <w:sz w:val="30"/>
          <w:szCs w:val="30"/>
          <w:lang w:val="en-GB"/>
        </w:rPr>
        <w:t>Pact of Amsterdam</w:t>
      </w:r>
    </w:p>
    <w:p w:rsidR="000509E8" w:rsidRDefault="0092291F" w:rsidP="00097799">
      <w:pPr>
        <w:pBdr>
          <w:bottom w:val="single" w:sz="6" w:space="1" w:color="auto"/>
        </w:pBdr>
        <w:spacing w:line="240" w:lineRule="auto"/>
        <w:jc w:val="center"/>
        <w:rPr>
          <w:rFonts w:ascii="Verdana" w:hAnsi="Verdana"/>
          <w:sz w:val="18"/>
          <w:szCs w:val="18"/>
          <w:lang w:val="en-GB"/>
        </w:rPr>
      </w:pPr>
      <w:r>
        <w:rPr>
          <w:rFonts w:ascii="Verdana" w:hAnsi="Verdana"/>
          <w:sz w:val="18"/>
          <w:szCs w:val="18"/>
          <w:lang w:val="en-GB"/>
        </w:rPr>
        <w:t xml:space="preserve">DRAFT VERSION </w:t>
      </w:r>
      <w:r w:rsidR="00817AB1">
        <w:rPr>
          <w:rFonts w:ascii="Verdana" w:hAnsi="Verdana"/>
          <w:sz w:val="18"/>
          <w:szCs w:val="18"/>
          <w:lang w:val="en-GB"/>
        </w:rPr>
        <w:t>2.0</w:t>
      </w:r>
      <w:r>
        <w:rPr>
          <w:rFonts w:ascii="Verdana" w:hAnsi="Verdana"/>
          <w:sz w:val="18"/>
          <w:szCs w:val="18"/>
          <w:lang w:val="en-GB"/>
        </w:rPr>
        <w:t xml:space="preserve"> / </w:t>
      </w:r>
      <w:r w:rsidR="006E1A5A">
        <w:rPr>
          <w:rFonts w:ascii="Verdana" w:hAnsi="Verdana"/>
          <w:sz w:val="18"/>
          <w:szCs w:val="18"/>
          <w:lang w:val="en-GB"/>
        </w:rPr>
        <w:t>2</w:t>
      </w:r>
      <w:r>
        <w:rPr>
          <w:rFonts w:ascii="Verdana" w:hAnsi="Verdana"/>
          <w:sz w:val="18"/>
          <w:szCs w:val="18"/>
          <w:lang w:val="en-GB"/>
        </w:rPr>
        <w:t>-</w:t>
      </w:r>
      <w:r w:rsidR="00817AB1">
        <w:rPr>
          <w:rFonts w:ascii="Verdana" w:hAnsi="Verdana"/>
          <w:sz w:val="18"/>
          <w:szCs w:val="18"/>
          <w:lang w:val="en-GB"/>
        </w:rPr>
        <w:t>3</w:t>
      </w:r>
      <w:r w:rsidR="000509E8" w:rsidRPr="009D7937">
        <w:rPr>
          <w:rFonts w:ascii="Verdana" w:hAnsi="Verdana"/>
          <w:sz w:val="18"/>
          <w:szCs w:val="18"/>
          <w:lang w:val="en-GB"/>
        </w:rPr>
        <w:t>-201</w:t>
      </w:r>
      <w:r w:rsidR="00817AB1">
        <w:rPr>
          <w:rFonts w:ascii="Verdana" w:hAnsi="Verdana"/>
          <w:sz w:val="18"/>
          <w:szCs w:val="18"/>
          <w:lang w:val="en-GB"/>
        </w:rPr>
        <w:t>6</w:t>
      </w:r>
    </w:p>
    <w:p w:rsidR="009109BA" w:rsidRDefault="009109BA" w:rsidP="00097799">
      <w:pPr>
        <w:pBdr>
          <w:bottom w:val="single" w:sz="6" w:space="1" w:color="auto"/>
        </w:pBdr>
        <w:spacing w:line="240" w:lineRule="auto"/>
        <w:jc w:val="center"/>
        <w:rPr>
          <w:rFonts w:ascii="Verdana" w:hAnsi="Verdana"/>
          <w:sz w:val="18"/>
          <w:szCs w:val="18"/>
          <w:lang w:val="en-GB"/>
        </w:rPr>
      </w:pPr>
    </w:p>
    <w:p w:rsidR="000509E8" w:rsidRDefault="000509E8" w:rsidP="00097799">
      <w:pPr>
        <w:spacing w:line="240" w:lineRule="auto"/>
        <w:rPr>
          <w:rFonts w:ascii="Verdana" w:hAnsi="Verdana"/>
          <w:b/>
          <w:bCs/>
          <w:sz w:val="18"/>
          <w:szCs w:val="18"/>
          <w:lang w:val="en-GB"/>
        </w:rPr>
      </w:pPr>
      <w:r>
        <w:rPr>
          <w:rFonts w:ascii="Verdana" w:hAnsi="Verdana"/>
          <w:b/>
          <w:bCs/>
          <w:sz w:val="18"/>
          <w:szCs w:val="18"/>
          <w:lang w:val="en-GB"/>
        </w:rPr>
        <w:t xml:space="preserve">A) List of Reference Documents </w:t>
      </w:r>
    </w:p>
    <w:p w:rsidR="007E1B2D" w:rsidRPr="00287779" w:rsidRDefault="007E1B2D" w:rsidP="00097799">
      <w:pPr>
        <w:spacing w:line="240" w:lineRule="auto"/>
        <w:rPr>
          <w:rFonts w:ascii="Verdana" w:hAnsi="Verdana"/>
          <w:i/>
          <w:sz w:val="18"/>
          <w:szCs w:val="18"/>
          <w:lang w:val="en-GB"/>
        </w:rPr>
      </w:pPr>
      <w:r w:rsidRPr="00287779">
        <w:rPr>
          <w:rFonts w:ascii="Verdana" w:hAnsi="Verdana"/>
          <w:i/>
          <w:sz w:val="18"/>
          <w:szCs w:val="18"/>
          <w:lang w:val="en-GB"/>
        </w:rPr>
        <w:t>The presence of a document on this list should not be taken as endorsement of its content</w:t>
      </w:r>
      <w:r w:rsidR="009C295F" w:rsidRPr="00287779">
        <w:rPr>
          <w:rFonts w:ascii="Verdana" w:hAnsi="Verdana"/>
          <w:i/>
          <w:sz w:val="18"/>
          <w:szCs w:val="18"/>
          <w:lang w:val="en-GB"/>
        </w:rPr>
        <w:t xml:space="preserve"> unless it is listed as being adopted at an Informal Ministerial Meeting of Ministers responsible for Urban Matters</w:t>
      </w:r>
      <w:r w:rsidRPr="00287779">
        <w:rPr>
          <w:rFonts w:ascii="Verdana" w:hAnsi="Verdana"/>
          <w:i/>
          <w:sz w:val="18"/>
          <w:szCs w:val="18"/>
          <w:lang w:val="en-GB"/>
        </w:rPr>
        <w:t>.</w:t>
      </w:r>
    </w:p>
    <w:p w:rsidR="000509E8" w:rsidRDefault="000509E8" w:rsidP="00097799">
      <w:pPr>
        <w:pStyle w:val="Lijstalinea"/>
        <w:spacing w:line="240" w:lineRule="auto"/>
        <w:ind w:left="0"/>
        <w:rPr>
          <w:rFonts w:ascii="Verdana" w:hAnsi="Verdana"/>
          <w:i/>
          <w:sz w:val="18"/>
          <w:szCs w:val="18"/>
          <w:lang w:val="en-GB"/>
        </w:rPr>
      </w:pP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Communication from the Commission of 6 May 1997 entitled “Towards an urban agenda in the European Union” (COM(1997)0197).</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 xml:space="preserve">The “Lille Action Programme" adopted at the Informal Council of Ministers responsible for urban affairs held in Lille on 3 November 2000. </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"Urban Acquis" adopted at the Informal Council of Ministers responsible for territorial cohesion, held in Rotterdam on 29 November 2004.</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 xml:space="preserve">The "Bristol Accord" adopted at the Informal Council of Ministers on sustainable communities held in Bristol on 6-7 December 2005. </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“Territorial Agenda of the EU - Towards a More Competitive and Sustainable Europe of Diverse Regions” adopted at the Informal Council of Ministers responsible for spatial planning and urban development held in Leipzig on 24-25 May 2007.</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Leipzig Charter on sustainable European cities, adopted at the Informal Council Meeting of Ministers on urban development of 24-25 May 2007 in Leipzig.</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Communication from the Commission to the Council, the European Parliament, the Committee of the Regions and the European Economic and Social Committee entitled "Green Paper on Territorial Cohesion: Turning territorial diversity into strength" dated 6 October 2008 (COM(2008)0616).</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“Marseille Declaration” adopted at the Informal Ministerial Meeting of Ministers responsible for urban development on 25 November 2008.</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 xml:space="preserve">The European Parliament resolution of 24 March 2009 on the Green Paper on Territorial Cohesion and the state of the debate on the future reform of cohesion policy (2008/2174(INI)); the European Parliament report of 24 March 2009 on the urban dimension of cohesion policy in the new programming period (2008/2130(INI)). </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Treaty of Lisbon amending the Treaty on European Union and the Treaty establishing the European Community, signed at Lisbon, 13 December 2007 and entered into force on 1 December 2009.</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Working Document of the Directorate-General for Regional Policy “Fostering the urban dimension – Analysis of the Operational Programmes co-financed by the European Regional Development Fund (2007-2013)” from November 2008; and the Guide from the Commission on "The urban dimension in Community policies for the period 2007 – 2013" updated in December 2009.</w:t>
      </w:r>
    </w:p>
    <w:p w:rsidR="000509E8" w:rsidRPr="00CE1470"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strategy “EUROPE 2020”, approved by the European Council on 17 June 2010 following the</w:t>
      </w:r>
      <w:r w:rsidR="0009256D">
        <w:rPr>
          <w:rFonts w:ascii="Verdana" w:hAnsi="Verdana"/>
          <w:sz w:val="18"/>
          <w:szCs w:val="18"/>
          <w:lang w:val="en-GB"/>
        </w:rPr>
        <w:t xml:space="preserve"> </w:t>
      </w:r>
      <w:r w:rsidRPr="00CE1470">
        <w:rPr>
          <w:rFonts w:ascii="Verdana" w:hAnsi="Verdana"/>
          <w:sz w:val="18"/>
          <w:szCs w:val="18"/>
          <w:lang w:val="en-GB"/>
        </w:rPr>
        <w:t>Commission Communication “EUROPE 2020: A strategy for smart, sustainable and inclusive growth” dated 3 March 2010 (COM(2010)2020); and the renewed “EU Sustainable Development Strategy”, adopted by the European Council on 15/16 June 2006.</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Toledo Declaration, adopted at the Informal Council Meeting of Ministers on urban development of 22 June 2010 in Toledo.</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Territorial agenda of the EU 2020, agreed at the Informal Ministerial Meeting of Ministers responsible for Spatial Planning and Territorial Development of 19 May 2011 in Gödöllő.</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European Parliament resolution of 23 June 2011 on the European urban agenda and its future in cohesion policy.</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Commission’s report entitled “Cities of tomorrow: Challenges, visions, ways forward”, October 2011.</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The “Road map” for the implementation of the new Territorial Agenda was adopted during Polish presidency in November 2011.</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lastRenderedPageBreak/>
        <w:t>Opinion of the European Economic and Social Committee of 21 September 2011 on “Metropolitan Areas and City Regions in Europe 2020”.</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Presidency Conclusions adopted at the Informal Meeting of the Directors General of Territorial Cohesion/Spatial Development and Urban Development on 21 November, 2013 in Vilnius.</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Commission’s report entitled “</w:t>
      </w:r>
      <w:r w:rsidR="009109BA">
        <w:rPr>
          <w:rFonts w:ascii="Verdana" w:hAnsi="Verdana"/>
          <w:sz w:val="18"/>
          <w:szCs w:val="18"/>
          <w:lang w:val="en-GB"/>
        </w:rPr>
        <w:t xml:space="preserve">Cities </w:t>
      </w:r>
      <w:r>
        <w:rPr>
          <w:rFonts w:ascii="Verdana" w:hAnsi="Verdana"/>
          <w:sz w:val="18"/>
          <w:szCs w:val="18"/>
          <w:lang w:val="en-GB"/>
        </w:rPr>
        <w:t>of tomorrow: Investing in Europe”, Brussels, 17-18 February 2014.</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Presidency Conclusions adopted at the Informal Meeting of Ministers responsible for cohesion policy of 24-25 April 2014 in Athens.</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Opinion of the Committee of the Regions of 25 June 2014 on “Towards an Integrated Urban Agenda for the EU”.</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Communication from the Commission of 18 July 2014 on the urban dimension of EU policies – key features of an EU urban agenda (COM(2014)0490).</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General Affairs Council conclusions of Nov 2014</w:t>
      </w:r>
      <w:r w:rsidR="0009256D">
        <w:rPr>
          <w:rFonts w:ascii="Verdana" w:hAnsi="Verdana"/>
          <w:sz w:val="18"/>
          <w:szCs w:val="18"/>
          <w:lang w:val="en-GB"/>
        </w:rPr>
        <w:t xml:space="preserve"> </w:t>
      </w:r>
      <w:r w:rsidR="00CE1470">
        <w:rPr>
          <w:rFonts w:ascii="Verdana" w:hAnsi="Verdana"/>
          <w:sz w:val="18"/>
          <w:szCs w:val="18"/>
          <w:lang w:val="en-GB"/>
        </w:rPr>
        <w:t>(point 32)</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Communication from the Commission of 16 December 2014 entitled “Commission Work Programme 2015” (COM(2014)0910).</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EURO</w:t>
      </w:r>
      <w:r w:rsidR="009109BA">
        <w:rPr>
          <w:rFonts w:ascii="Verdana" w:hAnsi="Verdana"/>
          <w:sz w:val="18"/>
          <w:szCs w:val="18"/>
          <w:lang w:val="en-GB"/>
        </w:rPr>
        <w:t>CITIES</w:t>
      </w:r>
      <w:r w:rsidR="0009256D">
        <w:rPr>
          <w:rFonts w:ascii="Verdana" w:hAnsi="Verdana"/>
          <w:sz w:val="18"/>
          <w:szCs w:val="18"/>
          <w:lang w:val="en-GB"/>
        </w:rPr>
        <w:t xml:space="preserve"> </w:t>
      </w:r>
      <w:r>
        <w:rPr>
          <w:rFonts w:ascii="Verdana" w:hAnsi="Verdana"/>
          <w:sz w:val="18"/>
          <w:szCs w:val="18"/>
          <w:lang w:val="en-GB"/>
        </w:rPr>
        <w:t>strategic framework 2014-2020: towards an EU urban agenda for cities, December 2014.</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Communication from the Commission to the European Parliament, the Council, the European Economic and Social Committee of the Regions. Commission Work Programme 2015. A New Start (COM (2014)910),</w:t>
      </w:r>
    </w:p>
    <w:p w:rsidR="000509E8" w:rsidRDefault="00C3715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CEMR C</w:t>
      </w:r>
      <w:r w:rsidR="000509E8">
        <w:rPr>
          <w:rFonts w:ascii="Verdana" w:hAnsi="Verdana"/>
          <w:sz w:val="18"/>
          <w:szCs w:val="18"/>
          <w:lang w:val="en-GB"/>
        </w:rPr>
        <w:t>ontribution to an Urban Agenda, February 2014.</w:t>
      </w:r>
    </w:p>
    <w:p w:rsidR="000509E8" w:rsidRPr="009C295F" w:rsidRDefault="009C295F"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Opinion of the European Economic and Social Committee “</w:t>
      </w:r>
      <w:r w:rsidRPr="009C295F">
        <w:rPr>
          <w:rFonts w:ascii="Verdana" w:hAnsi="Verdana"/>
          <w:sz w:val="18"/>
          <w:szCs w:val="18"/>
          <w:lang w:val="en-GB"/>
        </w:rPr>
        <w:t>An EU urban agenda – strengthening the urban dimension of EU policymaking for a more effective delivery of Europe 2020</w:t>
      </w:r>
      <w:r>
        <w:rPr>
          <w:rFonts w:ascii="Verdana" w:hAnsi="Verdana"/>
          <w:sz w:val="18"/>
          <w:szCs w:val="18"/>
          <w:lang w:val="en-GB"/>
        </w:rPr>
        <w:t>”, 23 April 2015.</w:t>
      </w:r>
    </w:p>
    <w:p w:rsidR="000509E8"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 xml:space="preserve">Vienna Declaration by the Mayors of the EU Capital </w:t>
      </w:r>
      <w:r w:rsidR="009109BA">
        <w:rPr>
          <w:rFonts w:ascii="Verdana" w:hAnsi="Verdana"/>
          <w:sz w:val="18"/>
          <w:szCs w:val="18"/>
          <w:lang w:val="en-GB"/>
        </w:rPr>
        <w:t xml:space="preserve">Cities </w:t>
      </w:r>
      <w:r>
        <w:rPr>
          <w:rFonts w:ascii="Verdana" w:hAnsi="Verdana"/>
          <w:sz w:val="18"/>
          <w:szCs w:val="18"/>
          <w:lang w:val="en-GB"/>
        </w:rPr>
        <w:t>“A strong voice in Europe”, 21 April 2015.</w:t>
      </w:r>
    </w:p>
    <w:p w:rsidR="000509E8" w:rsidRPr="00281605"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 xml:space="preserve">Opinion of the European Committee of the Regions “The improvement of the implementation of the Territorial Agenda of the European Union 2020”, 17 April 2015. </w:t>
      </w:r>
    </w:p>
    <w:p w:rsidR="000509E8" w:rsidRPr="00281605" w:rsidRDefault="000509E8" w:rsidP="00097799">
      <w:pPr>
        <w:pStyle w:val="Lijstalinea"/>
        <w:numPr>
          <w:ilvl w:val="0"/>
          <w:numId w:val="4"/>
        </w:numPr>
        <w:spacing w:line="240" w:lineRule="auto"/>
        <w:rPr>
          <w:rFonts w:ascii="Verdana" w:hAnsi="Verdana"/>
          <w:i/>
          <w:sz w:val="18"/>
          <w:szCs w:val="18"/>
          <w:lang w:val="en-GB"/>
        </w:rPr>
      </w:pPr>
      <w:r>
        <w:rPr>
          <w:rFonts w:ascii="Verdana" w:hAnsi="Verdana"/>
          <w:sz w:val="18"/>
          <w:szCs w:val="18"/>
          <w:lang w:val="en-GB"/>
        </w:rPr>
        <w:t>Declaration of Ministers towards the EU Urban Agenda, adopted at the informal meeting of EU ministers responsible for Territorial Cohesion and Urban Matters, Riga, 10 June 2015;</w:t>
      </w:r>
    </w:p>
    <w:p w:rsidR="000509E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Commission Staff Working Document / Results of the Public Consultation on the key features of an EU Urban Agenda (SWD(2015) 109 final/2);</w:t>
      </w:r>
    </w:p>
    <w:p w:rsidR="000509E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Report on the urban dimension of EU Policies, Committee of Regional Development, European Parliament (2014/2213(INI));</w:t>
      </w:r>
    </w:p>
    <w:p w:rsidR="000509E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Better regulation for better results – an EU agenda (COM(2015) 215 final);</w:t>
      </w:r>
    </w:p>
    <w:p w:rsidR="00C3715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Presidency Conclusions of the Luxembourg Presidency of the Council of the European Union on the occasion of the Informal Ministerial Meetings on Territorial Cohesion and Urban Policy (26 en 27 November 2015);</w:t>
      </w:r>
    </w:p>
    <w:p w:rsidR="00C37158" w:rsidRPr="00C37158" w:rsidRDefault="00C37158" w:rsidP="00097799">
      <w:pPr>
        <w:pStyle w:val="Lijstalinea"/>
        <w:numPr>
          <w:ilvl w:val="0"/>
          <w:numId w:val="4"/>
        </w:numPr>
        <w:spacing w:line="240" w:lineRule="auto"/>
        <w:rPr>
          <w:rFonts w:ascii="Verdana" w:hAnsi="Verdana"/>
          <w:sz w:val="18"/>
          <w:szCs w:val="18"/>
          <w:lang w:val="en-GB"/>
        </w:rPr>
      </w:pPr>
      <w:r>
        <w:rPr>
          <w:rFonts w:ascii="Verdana" w:hAnsi="Verdana"/>
          <w:bCs/>
          <w:sz w:val="18"/>
          <w:szCs w:val="18"/>
          <w:lang w:val="en-GB"/>
        </w:rPr>
        <w:t>CEMR Position Paper, “</w:t>
      </w:r>
      <w:r w:rsidRPr="00C37158">
        <w:rPr>
          <w:rFonts w:ascii="Verdana" w:hAnsi="Verdana"/>
          <w:bCs/>
          <w:sz w:val="18"/>
          <w:szCs w:val="18"/>
          <w:lang w:val="en-GB"/>
        </w:rPr>
        <w:t>Territorial development An EU Urban Agenda should facilitate local authorities’ action on the ground</w:t>
      </w:r>
      <w:r>
        <w:rPr>
          <w:rFonts w:ascii="Verdana" w:hAnsi="Verdana"/>
          <w:bCs/>
          <w:sz w:val="18"/>
          <w:szCs w:val="18"/>
          <w:lang w:val="en-GB"/>
        </w:rPr>
        <w:t>”,</w:t>
      </w:r>
      <w:r w:rsidRPr="00C37158">
        <w:rPr>
          <w:rFonts w:ascii="Verdana" w:hAnsi="Verdana"/>
          <w:bCs/>
          <w:sz w:val="18"/>
          <w:szCs w:val="18"/>
          <w:lang w:val="en-GB"/>
        </w:rPr>
        <w:t xml:space="preserve"> December 2015</w:t>
      </w:r>
      <w:r>
        <w:rPr>
          <w:rFonts w:ascii="Verdana" w:hAnsi="Verdana"/>
          <w:b/>
          <w:bCs/>
          <w:sz w:val="18"/>
          <w:szCs w:val="18"/>
          <w:lang w:val="en-GB"/>
        </w:rPr>
        <w:t>;</w:t>
      </w:r>
    </w:p>
    <w:p w:rsidR="00861A83" w:rsidRDefault="00861A83"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 xml:space="preserve">Opinion </w:t>
      </w:r>
      <w:r w:rsidRPr="00213557">
        <w:rPr>
          <w:rFonts w:ascii="Verdana" w:hAnsi="Verdana"/>
          <w:sz w:val="18"/>
          <w:szCs w:val="18"/>
          <w:lang w:val="en-GB"/>
        </w:rPr>
        <w:t xml:space="preserve">of the </w:t>
      </w:r>
      <w:r>
        <w:rPr>
          <w:rFonts w:ascii="Verdana" w:hAnsi="Verdana"/>
          <w:sz w:val="18"/>
          <w:szCs w:val="18"/>
          <w:lang w:val="en-GB"/>
        </w:rPr>
        <w:t xml:space="preserve">European Economic Social Committee on </w:t>
      </w:r>
      <w:r w:rsidRPr="00213557">
        <w:rPr>
          <w:rFonts w:ascii="Verdana" w:hAnsi="Verdana"/>
          <w:sz w:val="18"/>
          <w:szCs w:val="18"/>
          <w:lang w:val="en-GB"/>
        </w:rPr>
        <w:t>The future of the EU Urban Agenda seen from the perspective of civil society</w:t>
      </w:r>
      <w:r>
        <w:rPr>
          <w:rFonts w:ascii="Verdana" w:hAnsi="Verdana"/>
          <w:sz w:val="18"/>
          <w:szCs w:val="18"/>
          <w:lang w:val="en-GB"/>
        </w:rPr>
        <w:t xml:space="preserve"> </w:t>
      </w:r>
      <w:r w:rsidRPr="00213557">
        <w:rPr>
          <w:rFonts w:ascii="Verdana" w:hAnsi="Verdana"/>
          <w:sz w:val="18"/>
          <w:szCs w:val="18"/>
          <w:lang w:val="en-GB"/>
        </w:rPr>
        <w:t>(explorator</w:t>
      </w:r>
      <w:r>
        <w:rPr>
          <w:rFonts w:ascii="Verdana" w:hAnsi="Verdana"/>
          <w:sz w:val="18"/>
          <w:szCs w:val="18"/>
          <w:lang w:val="en-GB"/>
        </w:rPr>
        <w:t>y opinion requested by the Netherlands</w:t>
      </w:r>
      <w:r w:rsidRPr="00213557">
        <w:rPr>
          <w:rFonts w:ascii="Verdana" w:hAnsi="Verdana"/>
          <w:sz w:val="18"/>
          <w:szCs w:val="18"/>
          <w:lang w:val="en-GB"/>
        </w:rPr>
        <w:t xml:space="preserve"> presidency of the EU)</w:t>
      </w:r>
      <w:r>
        <w:rPr>
          <w:rFonts w:ascii="Verdana" w:hAnsi="Verdana"/>
          <w:sz w:val="18"/>
          <w:szCs w:val="18"/>
          <w:lang w:val="en-GB"/>
        </w:rPr>
        <w:t xml:space="preserve">, February 2016; </w:t>
      </w:r>
    </w:p>
    <w:p w:rsidR="000509E8" w:rsidRPr="00861A83" w:rsidRDefault="00C97E7D" w:rsidP="00097799">
      <w:pPr>
        <w:pStyle w:val="Lijstalinea"/>
        <w:numPr>
          <w:ilvl w:val="0"/>
          <w:numId w:val="4"/>
        </w:numPr>
        <w:spacing w:line="240" w:lineRule="auto"/>
        <w:rPr>
          <w:rFonts w:ascii="Verdana" w:hAnsi="Verdana"/>
          <w:sz w:val="18"/>
          <w:szCs w:val="18"/>
          <w:lang w:val="en-GB"/>
        </w:rPr>
      </w:pPr>
      <w:r w:rsidRPr="00C97E7D">
        <w:rPr>
          <w:rFonts w:ascii="Verdana" w:hAnsi="Verdana"/>
          <w:sz w:val="18"/>
          <w:szCs w:val="18"/>
          <w:lang w:val="en-GB"/>
        </w:rPr>
        <w:t>[Declaration of EU Mayors of Capital Cities];</w:t>
      </w:r>
    </w:p>
    <w:p w:rsidR="000509E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[Referral of the Committee of the Regions (requested by the future Dutch EU Presidency)];</w:t>
      </w:r>
    </w:p>
    <w:p w:rsidR="000509E8" w:rsidRDefault="000509E8" w:rsidP="00097799">
      <w:pPr>
        <w:pStyle w:val="Lijstalinea"/>
        <w:numPr>
          <w:ilvl w:val="0"/>
          <w:numId w:val="4"/>
        </w:numPr>
        <w:spacing w:line="240" w:lineRule="auto"/>
        <w:rPr>
          <w:rFonts w:ascii="Verdana" w:hAnsi="Verdana"/>
          <w:sz w:val="18"/>
          <w:szCs w:val="18"/>
          <w:lang w:val="en-GB"/>
        </w:rPr>
      </w:pPr>
      <w:r>
        <w:rPr>
          <w:rFonts w:ascii="Verdana" w:hAnsi="Verdana"/>
          <w:sz w:val="18"/>
          <w:szCs w:val="18"/>
          <w:lang w:val="en-GB"/>
        </w:rPr>
        <w:t>[Manifest of European City Makers Summit].</w:t>
      </w:r>
    </w:p>
    <w:p w:rsidR="000509E8" w:rsidRDefault="000509E8" w:rsidP="00097799">
      <w:pPr>
        <w:spacing w:line="240" w:lineRule="auto"/>
        <w:rPr>
          <w:rFonts w:ascii="Verdana" w:hAnsi="Verdana"/>
          <w:b/>
          <w:sz w:val="18"/>
          <w:szCs w:val="18"/>
          <w:lang w:val="en-GB"/>
        </w:rPr>
      </w:pPr>
    </w:p>
    <w:p w:rsidR="000509E8" w:rsidRDefault="000509E8" w:rsidP="00097799">
      <w:pPr>
        <w:spacing w:line="240" w:lineRule="auto"/>
        <w:rPr>
          <w:rFonts w:ascii="Verdana" w:hAnsi="Verdana"/>
          <w:b/>
          <w:sz w:val="18"/>
          <w:szCs w:val="18"/>
          <w:lang w:val="en-GB"/>
        </w:rPr>
      </w:pPr>
      <w:r>
        <w:rPr>
          <w:rFonts w:ascii="Verdana" w:hAnsi="Verdana"/>
          <w:b/>
          <w:sz w:val="18"/>
          <w:szCs w:val="18"/>
          <w:lang w:val="en-GB"/>
        </w:rPr>
        <w:t xml:space="preserve">B) Priority Themes </w:t>
      </w:r>
    </w:p>
    <w:p w:rsidR="000509E8" w:rsidRDefault="000509E8" w:rsidP="00097799">
      <w:pPr>
        <w:spacing w:line="240" w:lineRule="auto"/>
        <w:rPr>
          <w:rFonts w:ascii="Verdana" w:hAnsi="Verdana"/>
          <w:sz w:val="18"/>
          <w:szCs w:val="18"/>
          <w:lang w:val="en-GB"/>
        </w:rPr>
      </w:pPr>
      <w:r w:rsidRPr="00EC7964">
        <w:rPr>
          <w:rFonts w:ascii="Verdana" w:hAnsi="Verdana"/>
          <w:sz w:val="18"/>
          <w:szCs w:val="18"/>
          <w:lang w:val="en-GB"/>
        </w:rPr>
        <w:t xml:space="preserve">The themes were selected </w:t>
      </w:r>
      <w:r w:rsidR="00A64313">
        <w:rPr>
          <w:rFonts w:ascii="Verdana" w:hAnsi="Verdana"/>
          <w:sz w:val="18"/>
          <w:szCs w:val="18"/>
          <w:lang w:val="en-GB"/>
        </w:rPr>
        <w:t xml:space="preserve">based </w:t>
      </w:r>
      <w:r w:rsidRPr="00EC7964">
        <w:rPr>
          <w:rFonts w:ascii="Verdana" w:hAnsi="Verdana"/>
          <w:sz w:val="18"/>
          <w:szCs w:val="18"/>
          <w:lang w:val="en-GB"/>
        </w:rPr>
        <w:t>on the following selection criteria:</w:t>
      </w:r>
    </w:p>
    <w:p w:rsidR="000509E8" w:rsidRDefault="000509E8" w:rsidP="00097799">
      <w:pPr>
        <w:spacing w:line="240" w:lineRule="auto"/>
        <w:rPr>
          <w:rFonts w:ascii="Verdana" w:hAnsi="Verdana"/>
          <w:sz w:val="18"/>
          <w:szCs w:val="18"/>
          <w:lang w:val="en-GB"/>
        </w:rPr>
      </w:pPr>
      <w:r>
        <w:rPr>
          <w:rFonts w:ascii="Verdana" w:hAnsi="Verdana"/>
          <w:sz w:val="18"/>
          <w:szCs w:val="18"/>
          <w:lang w:val="en-GB"/>
        </w:rPr>
        <w:t xml:space="preserve">- Themes </w:t>
      </w:r>
      <w:r w:rsidR="00CE1470">
        <w:rPr>
          <w:rFonts w:ascii="Verdana" w:hAnsi="Verdana"/>
          <w:sz w:val="18"/>
          <w:szCs w:val="18"/>
          <w:lang w:val="en-GB"/>
        </w:rPr>
        <w:t>must</w:t>
      </w:r>
      <w:r w:rsidR="00590138">
        <w:rPr>
          <w:rFonts w:ascii="Verdana" w:hAnsi="Verdana"/>
          <w:sz w:val="18"/>
          <w:szCs w:val="18"/>
          <w:lang w:val="en-GB"/>
        </w:rPr>
        <w:t xml:space="preserve"> </w:t>
      </w:r>
      <w:r w:rsidR="00CE1470">
        <w:rPr>
          <w:rFonts w:ascii="Verdana" w:hAnsi="Verdana"/>
          <w:sz w:val="18"/>
          <w:szCs w:val="18"/>
          <w:lang w:val="en-GB"/>
        </w:rPr>
        <w:t xml:space="preserve">require </w:t>
      </w:r>
      <w:r w:rsidRPr="004C1905">
        <w:rPr>
          <w:rFonts w:ascii="Verdana" w:hAnsi="Verdana"/>
          <w:sz w:val="18"/>
          <w:szCs w:val="18"/>
          <w:lang w:val="en-GB"/>
        </w:rPr>
        <w:t>integrated action at the EU-level and multi-level cooperation.</w:t>
      </w:r>
    </w:p>
    <w:p w:rsidR="000509E8" w:rsidRDefault="000509E8" w:rsidP="00097799">
      <w:pPr>
        <w:spacing w:line="240" w:lineRule="auto"/>
        <w:rPr>
          <w:rFonts w:ascii="Verdana" w:hAnsi="Verdana"/>
          <w:sz w:val="18"/>
          <w:szCs w:val="18"/>
          <w:lang w:val="en-GB"/>
        </w:rPr>
      </w:pPr>
      <w:r>
        <w:rPr>
          <w:rFonts w:ascii="Verdana" w:hAnsi="Verdana"/>
          <w:sz w:val="18"/>
          <w:szCs w:val="18"/>
          <w:lang w:val="en-GB"/>
        </w:rPr>
        <w:t xml:space="preserve">- Clear support of Member States, European Commission and </w:t>
      </w:r>
      <w:r w:rsidR="009109BA">
        <w:rPr>
          <w:rFonts w:ascii="Verdana" w:hAnsi="Verdana"/>
          <w:sz w:val="18"/>
          <w:szCs w:val="18"/>
          <w:lang w:val="en-GB"/>
        </w:rPr>
        <w:t>Urban A</w:t>
      </w:r>
      <w:r w:rsidR="0009256D">
        <w:rPr>
          <w:rFonts w:ascii="Verdana" w:hAnsi="Verdana"/>
          <w:sz w:val="18"/>
          <w:szCs w:val="18"/>
          <w:lang w:val="en-GB"/>
        </w:rPr>
        <w:t>reas</w:t>
      </w:r>
      <w:r w:rsidR="00A64313">
        <w:rPr>
          <w:rFonts w:ascii="Verdana" w:hAnsi="Verdana"/>
          <w:sz w:val="18"/>
          <w:szCs w:val="18"/>
          <w:lang w:val="en-GB"/>
        </w:rPr>
        <w:t>.</w:t>
      </w:r>
      <w:r w:rsidR="0009256D">
        <w:rPr>
          <w:rFonts w:ascii="Verdana" w:hAnsi="Verdana"/>
          <w:sz w:val="18"/>
          <w:szCs w:val="18"/>
          <w:lang w:val="en-GB"/>
        </w:rPr>
        <w:t xml:space="preserve"> </w:t>
      </w:r>
    </w:p>
    <w:p w:rsidR="000509E8" w:rsidRDefault="000509E8" w:rsidP="00097799">
      <w:pPr>
        <w:spacing w:line="240" w:lineRule="auto"/>
        <w:rPr>
          <w:rFonts w:ascii="Verdana" w:hAnsi="Verdana"/>
          <w:sz w:val="18"/>
          <w:szCs w:val="18"/>
          <w:lang w:val="en-GB"/>
        </w:rPr>
      </w:pPr>
      <w:r>
        <w:rPr>
          <w:rFonts w:ascii="Verdana" w:hAnsi="Verdana"/>
          <w:sz w:val="18"/>
          <w:szCs w:val="18"/>
          <w:lang w:val="en-GB"/>
        </w:rPr>
        <w:t xml:space="preserve">- Themes address the major challenges of </w:t>
      </w:r>
      <w:r w:rsidR="009109BA">
        <w:rPr>
          <w:rFonts w:ascii="Verdana" w:hAnsi="Verdana"/>
          <w:sz w:val="18"/>
          <w:szCs w:val="18"/>
          <w:lang w:val="en-GB"/>
        </w:rPr>
        <w:t>Urban A</w:t>
      </w:r>
      <w:r w:rsidR="0009256D">
        <w:rPr>
          <w:rFonts w:ascii="Verdana" w:hAnsi="Verdana"/>
          <w:sz w:val="18"/>
          <w:szCs w:val="18"/>
          <w:lang w:val="en-GB"/>
        </w:rPr>
        <w:t>reas</w:t>
      </w:r>
      <w:r>
        <w:rPr>
          <w:rFonts w:ascii="Verdana" w:hAnsi="Verdana"/>
          <w:sz w:val="18"/>
          <w:szCs w:val="18"/>
          <w:lang w:val="en-GB"/>
        </w:rPr>
        <w:t>.</w:t>
      </w:r>
    </w:p>
    <w:p w:rsidR="000509E8" w:rsidRDefault="000509E8" w:rsidP="00097799">
      <w:pPr>
        <w:spacing w:line="240" w:lineRule="auto"/>
        <w:rPr>
          <w:rFonts w:ascii="Verdana" w:hAnsi="Verdana"/>
          <w:sz w:val="18"/>
          <w:szCs w:val="18"/>
          <w:lang w:val="en-GB"/>
        </w:rPr>
      </w:pPr>
      <w:r>
        <w:rPr>
          <w:rFonts w:ascii="Verdana" w:hAnsi="Verdana"/>
          <w:sz w:val="18"/>
          <w:szCs w:val="18"/>
          <w:lang w:val="en-GB"/>
        </w:rPr>
        <w:t>- Themes have the potential to generate concrete results in a reasonable timeframe</w:t>
      </w:r>
      <w:r w:rsidR="00A64313">
        <w:rPr>
          <w:rFonts w:ascii="Verdana" w:hAnsi="Verdana"/>
          <w:sz w:val="18"/>
          <w:szCs w:val="18"/>
          <w:lang w:val="en-GB"/>
        </w:rPr>
        <w:t>.</w:t>
      </w:r>
    </w:p>
    <w:p w:rsidR="000509E8" w:rsidRDefault="000509E8" w:rsidP="00097799">
      <w:pPr>
        <w:spacing w:line="240" w:lineRule="auto"/>
        <w:rPr>
          <w:rFonts w:ascii="Verdana" w:hAnsi="Verdana"/>
          <w:sz w:val="18"/>
          <w:szCs w:val="18"/>
          <w:lang w:val="en-GB"/>
        </w:rPr>
      </w:pPr>
      <w:r>
        <w:rPr>
          <w:rFonts w:ascii="Verdana" w:hAnsi="Verdana"/>
          <w:sz w:val="18"/>
          <w:szCs w:val="18"/>
          <w:lang w:val="en-GB"/>
        </w:rPr>
        <w:t>- T</w:t>
      </w:r>
      <w:r w:rsidRPr="004C1905">
        <w:rPr>
          <w:rFonts w:ascii="Verdana" w:hAnsi="Verdana"/>
          <w:sz w:val="18"/>
          <w:szCs w:val="18"/>
          <w:lang w:val="en-GB"/>
        </w:rPr>
        <w:t>hemes</w:t>
      </w:r>
      <w:r w:rsidR="00CE1470">
        <w:rPr>
          <w:rFonts w:ascii="Verdana" w:hAnsi="Verdana"/>
          <w:sz w:val="18"/>
          <w:szCs w:val="18"/>
          <w:lang w:val="en-GB"/>
        </w:rPr>
        <w:t xml:space="preserve"> which</w:t>
      </w:r>
      <w:r w:rsidRPr="004C1905">
        <w:rPr>
          <w:rFonts w:ascii="Verdana" w:hAnsi="Verdana"/>
          <w:sz w:val="18"/>
          <w:szCs w:val="18"/>
          <w:lang w:val="en-GB"/>
        </w:rPr>
        <w:t xml:space="preserve"> promote</w:t>
      </w:r>
      <w:r>
        <w:rPr>
          <w:rFonts w:ascii="Verdana" w:hAnsi="Verdana"/>
          <w:sz w:val="18"/>
          <w:szCs w:val="18"/>
          <w:lang w:val="en-GB"/>
        </w:rPr>
        <w:t xml:space="preserve"> </w:t>
      </w:r>
      <w:r w:rsidRPr="004C1905">
        <w:rPr>
          <w:rFonts w:ascii="Verdana" w:hAnsi="Verdana"/>
          <w:sz w:val="18"/>
          <w:szCs w:val="18"/>
          <w:lang w:val="en-GB"/>
        </w:rPr>
        <w:t xml:space="preserve">the EU 2020 objectives. </w:t>
      </w:r>
    </w:p>
    <w:p w:rsidR="000509E8" w:rsidRDefault="000509E8" w:rsidP="00097799">
      <w:pPr>
        <w:spacing w:line="240" w:lineRule="auto"/>
        <w:rPr>
          <w:rFonts w:ascii="Verdana" w:hAnsi="Verdana"/>
          <w:sz w:val="18"/>
          <w:szCs w:val="18"/>
          <w:lang w:val="en-GB"/>
        </w:rPr>
      </w:pPr>
      <w:r w:rsidRPr="00EC7964">
        <w:rPr>
          <w:rFonts w:ascii="Verdana" w:hAnsi="Verdana" w:cs="Times New Roman"/>
          <w:sz w:val="18"/>
          <w:szCs w:val="18"/>
          <w:lang w:val="en-GB"/>
        </w:rPr>
        <w:lastRenderedPageBreak/>
        <w:t xml:space="preserve">The </w:t>
      </w:r>
      <w:r w:rsidR="00590138">
        <w:rPr>
          <w:rFonts w:ascii="Verdana" w:hAnsi="Verdana" w:cs="Times New Roman"/>
          <w:sz w:val="18"/>
          <w:szCs w:val="18"/>
          <w:lang w:val="en-GB"/>
        </w:rPr>
        <w:t>list was established based on</w:t>
      </w:r>
      <w:r w:rsidRPr="00EC7964">
        <w:rPr>
          <w:rFonts w:ascii="Verdana" w:hAnsi="Verdana" w:cs="Times New Roman"/>
          <w:sz w:val="18"/>
          <w:szCs w:val="18"/>
          <w:lang w:val="en-GB"/>
        </w:rPr>
        <w:t xml:space="preserve"> a survey among Member States and representatives of </w:t>
      </w:r>
      <w:r w:rsidR="009109BA">
        <w:rPr>
          <w:rFonts w:ascii="Verdana" w:hAnsi="Verdana" w:cs="Times New Roman"/>
          <w:sz w:val="18"/>
          <w:szCs w:val="18"/>
          <w:lang w:val="en-GB"/>
        </w:rPr>
        <w:t>Urban A</w:t>
      </w:r>
      <w:r w:rsidRPr="00EC7964">
        <w:rPr>
          <w:rFonts w:ascii="Verdana" w:hAnsi="Verdana" w:cs="Times New Roman"/>
          <w:sz w:val="18"/>
          <w:szCs w:val="18"/>
          <w:lang w:val="en-GB"/>
        </w:rPr>
        <w:t xml:space="preserve">reas in July 2015 </w:t>
      </w:r>
      <w:r w:rsidR="00590138">
        <w:rPr>
          <w:rFonts w:ascii="Verdana" w:hAnsi="Verdana" w:cs="Times New Roman"/>
          <w:sz w:val="18"/>
          <w:szCs w:val="18"/>
          <w:lang w:val="en-GB"/>
        </w:rPr>
        <w:t xml:space="preserve">organised </w:t>
      </w:r>
      <w:r w:rsidRPr="00EC7964">
        <w:rPr>
          <w:rFonts w:ascii="Verdana" w:hAnsi="Verdana" w:cs="Times New Roman"/>
          <w:sz w:val="18"/>
          <w:szCs w:val="18"/>
          <w:lang w:val="en-GB"/>
        </w:rPr>
        <w:t xml:space="preserve">by the </w:t>
      </w:r>
      <w:r w:rsidR="00500658">
        <w:rPr>
          <w:rFonts w:ascii="Verdana" w:hAnsi="Verdana" w:cs="Times New Roman"/>
          <w:sz w:val="18"/>
          <w:szCs w:val="18"/>
          <w:lang w:val="en-GB"/>
        </w:rPr>
        <w:t xml:space="preserve"> Netherlands</w:t>
      </w:r>
      <w:r w:rsidR="00590138">
        <w:rPr>
          <w:rFonts w:ascii="Verdana" w:hAnsi="Verdana" w:cs="Times New Roman"/>
          <w:sz w:val="18"/>
          <w:szCs w:val="18"/>
          <w:lang w:val="en-GB"/>
        </w:rPr>
        <w:t>. It was</w:t>
      </w:r>
      <w:r w:rsidRPr="00EC7964">
        <w:rPr>
          <w:rFonts w:ascii="Verdana" w:hAnsi="Verdana" w:cs="Times New Roman"/>
          <w:sz w:val="18"/>
          <w:szCs w:val="18"/>
          <w:lang w:val="en-GB"/>
        </w:rPr>
        <w:t xml:space="preserve"> combined with the Commission Staff Working document (“Results of the Public Consultation on the key features of an EU Urban Agenda, SWD(2015) 109 final/2), published on 27 May 2015</w:t>
      </w:r>
      <w:r w:rsidR="00590138">
        <w:rPr>
          <w:rFonts w:ascii="Verdana" w:hAnsi="Verdana" w:cs="Times New Roman"/>
          <w:sz w:val="18"/>
          <w:szCs w:val="18"/>
          <w:lang w:val="en-GB"/>
        </w:rPr>
        <w:t>. Furthermore</w:t>
      </w:r>
      <w:r w:rsidRPr="00EC7964">
        <w:rPr>
          <w:rFonts w:ascii="Verdana" w:hAnsi="Verdana" w:cs="Times New Roman"/>
          <w:sz w:val="18"/>
          <w:szCs w:val="18"/>
          <w:lang w:val="en-GB"/>
        </w:rPr>
        <w:t xml:space="preserve"> three thematic workshops</w:t>
      </w:r>
      <w:r w:rsidR="00590138">
        <w:rPr>
          <w:rFonts w:ascii="Verdana" w:hAnsi="Verdana" w:cs="Times New Roman"/>
          <w:sz w:val="18"/>
          <w:szCs w:val="18"/>
          <w:lang w:val="en-GB"/>
        </w:rPr>
        <w:t xml:space="preserve"> on this matter were</w:t>
      </w:r>
      <w:r w:rsidRPr="00EC7964">
        <w:rPr>
          <w:rFonts w:ascii="Verdana" w:hAnsi="Verdana" w:cs="Times New Roman"/>
          <w:sz w:val="18"/>
          <w:szCs w:val="18"/>
          <w:lang w:val="en-GB"/>
        </w:rPr>
        <w:t xml:space="preserve"> organised by the European Commission in September 2015</w:t>
      </w:r>
      <w:r w:rsidR="00590138">
        <w:rPr>
          <w:rFonts w:ascii="Verdana" w:hAnsi="Verdana" w:cs="Times New Roman"/>
          <w:sz w:val="18"/>
          <w:szCs w:val="18"/>
          <w:lang w:val="en-GB"/>
        </w:rPr>
        <w:t xml:space="preserve">. </w:t>
      </w:r>
      <w:r w:rsidR="00590138">
        <w:rPr>
          <w:rFonts w:ascii="Verdana" w:hAnsi="Verdana"/>
          <w:sz w:val="18"/>
          <w:szCs w:val="18"/>
          <w:lang w:val="en-GB"/>
        </w:rPr>
        <w:br/>
        <w:t>The list was presented to the DG meeting on Urban Development in Luxemburg in O</w:t>
      </w:r>
      <w:r w:rsidR="00500658">
        <w:rPr>
          <w:rFonts w:ascii="Verdana" w:hAnsi="Verdana"/>
          <w:sz w:val="18"/>
          <w:szCs w:val="18"/>
          <w:lang w:val="en-GB"/>
        </w:rPr>
        <w:t>c</w:t>
      </w:r>
      <w:r w:rsidR="00590138">
        <w:rPr>
          <w:rFonts w:ascii="Verdana" w:hAnsi="Verdana"/>
          <w:sz w:val="18"/>
          <w:szCs w:val="18"/>
          <w:lang w:val="en-GB"/>
        </w:rPr>
        <w:t>tober 2015.</w:t>
      </w:r>
    </w:p>
    <w:p w:rsidR="009109BA" w:rsidRDefault="009109BA" w:rsidP="00097799">
      <w:pPr>
        <w:spacing w:line="240" w:lineRule="auto"/>
        <w:rPr>
          <w:rFonts w:ascii="Verdana" w:hAnsi="Verdana"/>
          <w:b/>
          <w:bCs/>
          <w:sz w:val="18"/>
          <w:szCs w:val="18"/>
          <w:lang w:val="en-GB"/>
        </w:rPr>
      </w:pPr>
    </w:p>
    <w:p w:rsidR="000509E8" w:rsidRDefault="000509E8" w:rsidP="00097799">
      <w:pPr>
        <w:spacing w:line="240" w:lineRule="auto"/>
        <w:rPr>
          <w:rFonts w:ascii="Verdana" w:hAnsi="Verdana"/>
          <w:b/>
          <w:bCs/>
          <w:sz w:val="18"/>
          <w:szCs w:val="18"/>
          <w:lang w:val="en-GB"/>
        </w:rPr>
      </w:pPr>
      <w:r>
        <w:rPr>
          <w:rFonts w:ascii="Verdana" w:hAnsi="Verdana"/>
          <w:b/>
          <w:bCs/>
          <w:sz w:val="18"/>
          <w:szCs w:val="18"/>
          <w:lang w:val="en-GB"/>
        </w:rPr>
        <w:t>C) Description of actions under the EU Urban Agenda</w:t>
      </w:r>
    </w:p>
    <w:p w:rsidR="00097799" w:rsidRDefault="00C97E7D" w:rsidP="00097799">
      <w:pPr>
        <w:spacing w:line="240" w:lineRule="auto"/>
        <w:rPr>
          <w:rFonts w:ascii="Verdana" w:hAnsi="Verdana"/>
          <w:sz w:val="18"/>
          <w:szCs w:val="18"/>
          <w:lang w:val="en-GB"/>
        </w:rPr>
      </w:pPr>
      <w:r w:rsidRPr="00C97E7D">
        <w:rPr>
          <w:rFonts w:ascii="Verdana" w:hAnsi="Verdana"/>
          <w:sz w:val="18"/>
          <w:szCs w:val="18"/>
          <w:lang w:val="en-GB"/>
        </w:rPr>
        <w:t xml:space="preserve">The different actions, aimed at improving the urban dimension of EU-policy through the three policy instruments, are: </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1. </w:t>
      </w:r>
      <w:r w:rsidR="00C97E7D" w:rsidRPr="00C97E7D">
        <w:rPr>
          <w:rFonts w:ascii="Verdana" w:hAnsi="Verdana"/>
          <w:sz w:val="18"/>
          <w:szCs w:val="18"/>
          <w:lang w:val="en-GB"/>
        </w:rPr>
        <w:t xml:space="preserve">Partnerships (see </w:t>
      </w:r>
      <w:r w:rsidR="00A64313">
        <w:rPr>
          <w:rFonts w:ascii="Verdana" w:hAnsi="Verdana"/>
          <w:sz w:val="18"/>
          <w:szCs w:val="18"/>
          <w:lang w:val="en-GB"/>
        </w:rPr>
        <w:t>A</w:t>
      </w:r>
      <w:r w:rsidR="00A64313" w:rsidRPr="00C97E7D">
        <w:rPr>
          <w:rFonts w:ascii="Verdana" w:hAnsi="Verdana"/>
          <w:sz w:val="18"/>
          <w:szCs w:val="18"/>
          <w:lang w:val="en-GB"/>
        </w:rPr>
        <w:t xml:space="preserve">nnex </w:t>
      </w:r>
      <w:r w:rsidR="00C97E7D" w:rsidRPr="00C97E7D">
        <w:rPr>
          <w:rFonts w:ascii="Verdana" w:hAnsi="Verdana"/>
          <w:sz w:val="18"/>
          <w:szCs w:val="18"/>
          <w:lang w:val="en-GB"/>
        </w:rPr>
        <w:t>E);</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2. </w:t>
      </w:r>
      <w:r w:rsidR="00C97E7D" w:rsidRPr="00C97E7D">
        <w:rPr>
          <w:rFonts w:ascii="Verdana" w:hAnsi="Verdana"/>
          <w:sz w:val="18"/>
          <w:szCs w:val="18"/>
          <w:lang w:val="en-GB"/>
        </w:rPr>
        <w:t>In line with the Commission Staff Working Document</w:t>
      </w:r>
      <w:r w:rsidR="000509E8">
        <w:rPr>
          <w:rStyle w:val="Voetnootmarkering"/>
          <w:rFonts w:ascii="Verdana" w:hAnsi="Verdana"/>
          <w:sz w:val="18"/>
          <w:szCs w:val="18"/>
          <w:lang w:val="en-GB"/>
        </w:rPr>
        <w:footnoteReference w:id="1"/>
      </w:r>
      <w:r w:rsidR="00C97E7D" w:rsidRPr="00C97E7D">
        <w:rPr>
          <w:rFonts w:ascii="Verdana" w:hAnsi="Verdana"/>
          <w:sz w:val="18"/>
          <w:szCs w:val="18"/>
          <w:lang w:val="en-GB"/>
        </w:rPr>
        <w:t xml:space="preserve">, improvement of the coordination by the European Commission of existing instruments and initiatives with a view of: </w:t>
      </w:r>
    </w:p>
    <w:p w:rsidR="00097799" w:rsidRDefault="00FC483D" w:rsidP="00097799">
      <w:pPr>
        <w:spacing w:line="240" w:lineRule="auto"/>
        <w:ind w:left="708"/>
        <w:rPr>
          <w:rFonts w:ascii="Verdana" w:hAnsi="Verdana"/>
          <w:sz w:val="18"/>
          <w:szCs w:val="18"/>
          <w:lang w:val="en-GB"/>
        </w:rPr>
      </w:pPr>
      <w:r>
        <w:rPr>
          <w:rFonts w:ascii="Verdana" w:hAnsi="Verdana"/>
          <w:sz w:val="18"/>
          <w:szCs w:val="18"/>
          <w:lang w:val="en-GB"/>
        </w:rPr>
        <w:t xml:space="preserve">a. </w:t>
      </w:r>
      <w:r w:rsidR="00C97E7D" w:rsidRPr="00C97E7D">
        <w:rPr>
          <w:rFonts w:ascii="Verdana" w:hAnsi="Verdana"/>
          <w:sz w:val="18"/>
          <w:szCs w:val="18"/>
          <w:lang w:val="en-GB"/>
        </w:rPr>
        <w:t>Mapping the urban related Commission initiatives in the selected Themes of the EU Urban Agenda with a view to identify gaps, overlaps and synergies;</w:t>
      </w:r>
    </w:p>
    <w:p w:rsidR="00097799" w:rsidRDefault="00FC483D" w:rsidP="00097799">
      <w:pPr>
        <w:spacing w:line="240" w:lineRule="auto"/>
        <w:ind w:left="708"/>
        <w:rPr>
          <w:rFonts w:ascii="Verdana" w:hAnsi="Verdana"/>
          <w:sz w:val="18"/>
          <w:szCs w:val="18"/>
          <w:lang w:val="en-GB"/>
        </w:rPr>
      </w:pPr>
      <w:r>
        <w:rPr>
          <w:rFonts w:ascii="Verdana" w:hAnsi="Verdana"/>
          <w:sz w:val="18"/>
          <w:szCs w:val="18"/>
          <w:lang w:val="en-GB"/>
        </w:rPr>
        <w:t xml:space="preserve">b. </w:t>
      </w:r>
      <w:r w:rsidR="00C97E7D" w:rsidRPr="00C97E7D">
        <w:rPr>
          <w:rFonts w:ascii="Verdana" w:hAnsi="Verdana"/>
          <w:sz w:val="18"/>
          <w:szCs w:val="18"/>
          <w:lang w:val="en-GB"/>
        </w:rPr>
        <w:t>Identifying the main actors, networks and platforms within the selected themes with a view to streamline cooperatio</w:t>
      </w:r>
      <w:r w:rsidR="00CA273E">
        <w:rPr>
          <w:rFonts w:ascii="Verdana" w:hAnsi="Verdana"/>
          <w:sz w:val="18"/>
          <w:szCs w:val="18"/>
          <w:lang w:val="en-GB"/>
        </w:rPr>
        <w:t>n and exchange of good practice.</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3. </w:t>
      </w:r>
      <w:r w:rsidR="00C97E7D" w:rsidRPr="00C97E7D">
        <w:rPr>
          <w:rFonts w:ascii="Verdana" w:hAnsi="Verdana"/>
          <w:sz w:val="18"/>
          <w:szCs w:val="18"/>
          <w:lang w:val="en-GB"/>
        </w:rPr>
        <w:t>Alignment of the Urban Innovative Actions with the selected Themes for the EU Urban Agenda;</w:t>
      </w:r>
    </w:p>
    <w:p w:rsidR="00097799" w:rsidRDefault="00FC483D" w:rsidP="00097799">
      <w:pPr>
        <w:spacing w:line="240" w:lineRule="auto"/>
        <w:rPr>
          <w:rFonts w:ascii="Verdana" w:hAnsi="Verdana"/>
          <w:sz w:val="18"/>
          <w:szCs w:val="18"/>
          <w:lang w:val="en-GB"/>
        </w:rPr>
      </w:pPr>
      <w:r>
        <w:rPr>
          <w:rFonts w:ascii="Verdana" w:hAnsi="Verdana"/>
          <w:color w:val="000000"/>
          <w:sz w:val="18"/>
          <w:szCs w:val="18"/>
          <w:lang w:val="en-GB"/>
        </w:rPr>
        <w:t>4.</w:t>
      </w:r>
      <w:r w:rsidR="00097799">
        <w:rPr>
          <w:rFonts w:ascii="Verdana" w:hAnsi="Verdana"/>
          <w:color w:val="000000"/>
          <w:sz w:val="18"/>
          <w:szCs w:val="18"/>
          <w:lang w:val="en-GB"/>
        </w:rPr>
        <w:t xml:space="preserve"> </w:t>
      </w:r>
      <w:r w:rsidR="00C97E7D" w:rsidRPr="00C97E7D">
        <w:rPr>
          <w:rFonts w:ascii="Verdana" w:hAnsi="Verdana"/>
          <w:color w:val="000000"/>
          <w:sz w:val="18"/>
          <w:szCs w:val="18"/>
          <w:lang w:val="en-GB"/>
        </w:rPr>
        <w:t xml:space="preserve">Contribution of </w:t>
      </w:r>
      <w:r w:rsidR="00A64313">
        <w:rPr>
          <w:rFonts w:ascii="Verdana" w:hAnsi="Verdana"/>
          <w:color w:val="000000"/>
          <w:sz w:val="18"/>
          <w:szCs w:val="18"/>
          <w:lang w:val="en-GB"/>
        </w:rPr>
        <w:t>URBACT</w:t>
      </w:r>
      <w:r w:rsidR="00A64313" w:rsidRPr="00C97E7D">
        <w:rPr>
          <w:rFonts w:ascii="Verdana" w:hAnsi="Verdana"/>
          <w:color w:val="000000"/>
          <w:sz w:val="18"/>
          <w:szCs w:val="18"/>
          <w:lang w:val="en-GB"/>
        </w:rPr>
        <w:t xml:space="preserve"> </w:t>
      </w:r>
      <w:r w:rsidR="00C97E7D" w:rsidRPr="00C97E7D">
        <w:rPr>
          <w:rFonts w:ascii="Verdana" w:hAnsi="Verdana"/>
          <w:color w:val="000000"/>
          <w:sz w:val="18"/>
          <w:szCs w:val="18"/>
          <w:lang w:val="en-GB"/>
        </w:rPr>
        <w:t>to the Priority Themes with its activities of exchange and learning through transnational networking, capacity building, capitalisation &amp; dissemination of urban knowledge and know-how</w:t>
      </w:r>
      <w:r w:rsidR="00C97E7D" w:rsidRPr="00C97E7D">
        <w:rPr>
          <w:rFonts w:ascii="Verdana" w:hAnsi="Verdana"/>
          <w:sz w:val="18"/>
          <w:szCs w:val="18"/>
          <w:lang w:val="en-GB"/>
        </w:rPr>
        <w:t>;</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5.</w:t>
      </w:r>
      <w:r w:rsidR="00097799">
        <w:rPr>
          <w:rFonts w:ascii="Verdana" w:hAnsi="Verdana"/>
          <w:sz w:val="18"/>
          <w:szCs w:val="18"/>
          <w:lang w:val="en-GB"/>
        </w:rPr>
        <w:t xml:space="preserve"> </w:t>
      </w:r>
      <w:r w:rsidR="00C97E7D" w:rsidRPr="00C97E7D">
        <w:rPr>
          <w:rFonts w:ascii="Verdana" w:hAnsi="Verdana"/>
          <w:sz w:val="18"/>
          <w:szCs w:val="18"/>
          <w:lang w:val="en-GB"/>
        </w:rPr>
        <w:t>Alignment of the work of the Urban Development Network to the framework of the EU Urban Agenda.</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6. </w:t>
      </w:r>
      <w:r w:rsidR="00C97E7D" w:rsidRPr="00C97E7D">
        <w:rPr>
          <w:rFonts w:ascii="Verdana" w:hAnsi="Verdana"/>
          <w:sz w:val="18"/>
          <w:szCs w:val="18"/>
          <w:lang w:val="en-GB"/>
        </w:rPr>
        <w:t>The scientific work of the Joint Programming Initiative Urban Europe will be used to promote and exchange evidence based proposals for urban policy.</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7. </w:t>
      </w:r>
      <w:r w:rsidR="00C97E7D" w:rsidRPr="00C97E7D">
        <w:rPr>
          <w:rFonts w:ascii="Verdana" w:hAnsi="Verdana"/>
          <w:sz w:val="18"/>
          <w:szCs w:val="18"/>
          <w:lang w:val="en-GB"/>
        </w:rPr>
        <w:t>Contribution of specific research activities of the European Observation Network, Territorial Development and Cohesion (ESPON) to the selected Themes, where deemed relevant;</w:t>
      </w:r>
    </w:p>
    <w:p w:rsidR="00097799" w:rsidRDefault="00FC483D" w:rsidP="00097799">
      <w:pPr>
        <w:spacing w:line="240" w:lineRule="auto"/>
        <w:rPr>
          <w:lang w:val="en-GB"/>
        </w:rPr>
      </w:pPr>
      <w:r>
        <w:rPr>
          <w:rFonts w:ascii="Verdana" w:hAnsi="Verdana"/>
          <w:sz w:val="18"/>
          <w:szCs w:val="18"/>
          <w:lang w:val="en-GB"/>
        </w:rPr>
        <w:t xml:space="preserve">8. </w:t>
      </w:r>
      <w:r w:rsidR="00C97E7D" w:rsidRPr="00C97E7D">
        <w:rPr>
          <w:rFonts w:ascii="Verdana" w:hAnsi="Verdana"/>
          <w:sz w:val="18"/>
          <w:szCs w:val="18"/>
          <w:lang w:val="en-GB"/>
        </w:rPr>
        <w:t>Organisation by the Presidency of the Informal Ministerial Meeting of Ministers for Urban Matters about the progress of the EU Urban Agenda, to be held at least once during every Trio Presidency, together with the Commission, the European Parliament,  European Consultat</w:t>
      </w:r>
      <w:r w:rsidR="009109BA">
        <w:rPr>
          <w:rFonts w:ascii="Verdana" w:hAnsi="Verdana"/>
          <w:sz w:val="18"/>
          <w:szCs w:val="18"/>
          <w:lang w:val="en-GB"/>
        </w:rPr>
        <w:t>ive Bodies, representatives of Urban A</w:t>
      </w:r>
      <w:r w:rsidR="00C97E7D" w:rsidRPr="00C97E7D">
        <w:rPr>
          <w:rFonts w:ascii="Verdana" w:hAnsi="Verdana"/>
          <w:sz w:val="18"/>
          <w:szCs w:val="18"/>
          <w:lang w:val="en-GB"/>
        </w:rPr>
        <w:t>reas and relevant stakeholders.</w:t>
      </w:r>
    </w:p>
    <w:p w:rsidR="00097799" w:rsidRDefault="00FC483D" w:rsidP="00097799">
      <w:pPr>
        <w:spacing w:line="240" w:lineRule="auto"/>
        <w:rPr>
          <w:rFonts w:ascii="Verdana" w:hAnsi="Verdana"/>
          <w:sz w:val="18"/>
          <w:szCs w:val="18"/>
          <w:lang w:val="en-GB"/>
        </w:rPr>
      </w:pPr>
      <w:r>
        <w:rPr>
          <w:rFonts w:ascii="Verdana" w:hAnsi="Verdana"/>
          <w:sz w:val="18"/>
          <w:szCs w:val="18"/>
          <w:lang w:val="en-GB"/>
        </w:rPr>
        <w:t xml:space="preserve">9. </w:t>
      </w:r>
      <w:r w:rsidR="00C97E7D" w:rsidRPr="00C97E7D">
        <w:rPr>
          <w:rFonts w:ascii="Verdana" w:hAnsi="Verdana"/>
          <w:sz w:val="18"/>
          <w:szCs w:val="18"/>
          <w:lang w:val="en-GB"/>
        </w:rPr>
        <w:t>Continuation the organisation of a biennial CITIES Forum to debate and report progress on the EU Urban Agenda to a wider audience;</w:t>
      </w:r>
    </w:p>
    <w:p w:rsidR="00A17C6E" w:rsidRDefault="00A17C6E" w:rsidP="00097799">
      <w:pPr>
        <w:spacing w:line="240" w:lineRule="auto"/>
        <w:rPr>
          <w:rFonts w:ascii="Verdana" w:hAnsi="Verdana"/>
          <w:b/>
          <w:bCs/>
          <w:sz w:val="18"/>
          <w:szCs w:val="18"/>
          <w:lang w:val="en-GB"/>
        </w:rPr>
      </w:pPr>
    </w:p>
    <w:p w:rsidR="00EE7260" w:rsidRPr="00031402" w:rsidRDefault="00E56EDA" w:rsidP="00097799">
      <w:pPr>
        <w:spacing w:line="240" w:lineRule="auto"/>
        <w:rPr>
          <w:rFonts w:ascii="Verdana" w:hAnsi="Verdana"/>
          <w:b/>
          <w:bCs/>
          <w:sz w:val="18"/>
          <w:szCs w:val="18"/>
          <w:lang w:val="en-GB"/>
        </w:rPr>
      </w:pPr>
      <w:r w:rsidRPr="00031402">
        <w:rPr>
          <w:rFonts w:ascii="Verdana" w:hAnsi="Verdana"/>
          <w:b/>
          <w:bCs/>
          <w:sz w:val="18"/>
          <w:szCs w:val="18"/>
          <w:lang w:val="en-GB"/>
        </w:rPr>
        <w:t>D</w:t>
      </w:r>
      <w:r w:rsidR="00EE7260" w:rsidRPr="00031402">
        <w:rPr>
          <w:rFonts w:ascii="Verdana" w:hAnsi="Verdana"/>
          <w:b/>
          <w:bCs/>
          <w:sz w:val="18"/>
          <w:szCs w:val="18"/>
          <w:lang w:val="en-GB"/>
        </w:rPr>
        <w:t>)</w:t>
      </w:r>
      <w:r w:rsidR="00EE7260" w:rsidRPr="008F5D9B">
        <w:rPr>
          <w:rFonts w:ascii="Verdana" w:hAnsi="Verdana"/>
          <w:b/>
          <w:bCs/>
          <w:sz w:val="18"/>
          <w:szCs w:val="18"/>
          <w:lang w:val="en-GB"/>
        </w:rPr>
        <w:t xml:space="preserve"> </w:t>
      </w:r>
      <w:r w:rsidR="00C97E7D" w:rsidRPr="00C97E7D">
        <w:rPr>
          <w:rFonts w:ascii="Verdana" w:hAnsi="Verdana"/>
          <w:b/>
          <w:sz w:val="18"/>
          <w:szCs w:val="18"/>
          <w:lang w:val="en-GB"/>
        </w:rPr>
        <w:t>EU Urban Agenda Board</w:t>
      </w:r>
      <w:r w:rsidR="00C97E7D" w:rsidRPr="00C97E7D">
        <w:rPr>
          <w:rFonts w:ascii="Verdana" w:hAnsi="Verdana"/>
          <w:sz w:val="18"/>
          <w:szCs w:val="18"/>
          <w:lang w:val="en-GB"/>
        </w:rPr>
        <w:t xml:space="preserve"> </w:t>
      </w:r>
    </w:p>
    <w:p w:rsidR="00EE7260" w:rsidRPr="00031402" w:rsidRDefault="00EE7260" w:rsidP="00097799">
      <w:pPr>
        <w:spacing w:line="240" w:lineRule="auto"/>
        <w:rPr>
          <w:rFonts w:ascii="Verdana" w:hAnsi="Verdana"/>
          <w:bCs/>
          <w:sz w:val="18"/>
          <w:szCs w:val="18"/>
          <w:lang w:val="en-GB"/>
        </w:rPr>
      </w:pPr>
      <w:r w:rsidRPr="00031402">
        <w:rPr>
          <w:rFonts w:ascii="Verdana" w:hAnsi="Verdana"/>
          <w:bCs/>
          <w:sz w:val="18"/>
          <w:szCs w:val="18"/>
          <w:lang w:val="en-GB"/>
        </w:rPr>
        <w:t xml:space="preserve">In addition to </w:t>
      </w:r>
      <w:r w:rsidR="00A64313">
        <w:rPr>
          <w:rFonts w:ascii="Verdana" w:hAnsi="Verdana"/>
          <w:bCs/>
          <w:sz w:val="18"/>
          <w:szCs w:val="18"/>
          <w:lang w:val="en-GB"/>
        </w:rPr>
        <w:t>P</w:t>
      </w:r>
      <w:r w:rsidRPr="00031402">
        <w:rPr>
          <w:rFonts w:ascii="Verdana" w:hAnsi="Verdana"/>
          <w:bCs/>
          <w:sz w:val="18"/>
          <w:szCs w:val="18"/>
          <w:lang w:val="en-GB"/>
        </w:rPr>
        <w:t xml:space="preserve">art III of the Pact about the </w:t>
      </w:r>
      <w:r w:rsidR="008C2518">
        <w:rPr>
          <w:rFonts w:ascii="Verdana" w:hAnsi="Verdana"/>
          <w:bCs/>
          <w:sz w:val="18"/>
          <w:szCs w:val="18"/>
          <w:lang w:val="en-GB"/>
        </w:rPr>
        <w:t>EU Urban Agenda Board</w:t>
      </w:r>
      <w:r w:rsidRPr="00031402">
        <w:rPr>
          <w:rFonts w:ascii="Verdana" w:hAnsi="Verdana"/>
          <w:bCs/>
          <w:sz w:val="18"/>
          <w:szCs w:val="18"/>
          <w:lang w:val="en-GB"/>
        </w:rPr>
        <w:t xml:space="preserve">, this annex gives a further description of the </w:t>
      </w:r>
      <w:r w:rsidR="00C97E7D" w:rsidRPr="00C97E7D">
        <w:rPr>
          <w:rFonts w:ascii="Verdana" w:hAnsi="Verdana"/>
          <w:sz w:val="18"/>
          <w:szCs w:val="18"/>
          <w:lang w:val="en-GB"/>
        </w:rPr>
        <w:t>EU Urban Agenda Board</w:t>
      </w:r>
      <w:r w:rsidRPr="00031402">
        <w:rPr>
          <w:rFonts w:ascii="Verdana" w:hAnsi="Verdana"/>
          <w:bCs/>
          <w:sz w:val="18"/>
          <w:szCs w:val="18"/>
          <w:lang w:val="en-GB"/>
        </w:rPr>
        <w:t xml:space="preserve">:  </w:t>
      </w:r>
    </w:p>
    <w:p w:rsidR="00097799" w:rsidRDefault="00C97E7D" w:rsidP="00097799">
      <w:pPr>
        <w:pStyle w:val="Lijstalinea"/>
        <w:spacing w:line="240" w:lineRule="auto"/>
        <w:ind w:left="0" w:right="-426"/>
        <w:jc w:val="both"/>
        <w:rPr>
          <w:rFonts w:ascii="Verdana" w:hAnsi="Verdana"/>
          <w:sz w:val="18"/>
          <w:szCs w:val="18"/>
          <w:lang w:val="en-GB"/>
        </w:rPr>
      </w:pPr>
      <w:r w:rsidRPr="00C97E7D">
        <w:rPr>
          <w:rFonts w:ascii="Verdana" w:hAnsi="Verdana"/>
          <w:sz w:val="18"/>
          <w:szCs w:val="18"/>
          <w:u w:val="single"/>
          <w:lang w:val="en-GB"/>
        </w:rPr>
        <w:t>Composition:</w:t>
      </w:r>
      <w:r w:rsidRPr="00C97E7D">
        <w:rPr>
          <w:rFonts w:ascii="Verdana" w:hAnsi="Verdana"/>
          <w:sz w:val="18"/>
          <w:szCs w:val="18"/>
          <w:lang w:val="en-GB"/>
        </w:rPr>
        <w:t xml:space="preserve"> The EU Urban Agenda Board is comprised of Member States, the European Commission, the European Parliament, </w:t>
      </w:r>
      <w:r w:rsidR="006A0FAF" w:rsidRPr="0068692D">
        <w:rPr>
          <w:rFonts w:ascii="Verdana" w:hAnsi="Verdana"/>
          <w:sz w:val="18"/>
          <w:szCs w:val="18"/>
          <w:lang w:val="en-GB"/>
        </w:rPr>
        <w:t xml:space="preserve">the </w:t>
      </w:r>
      <w:r w:rsidR="006A0FAF">
        <w:rPr>
          <w:rFonts w:ascii="Verdana" w:eastAsia="Times New Roman" w:hAnsi="Verdana" w:cs="Times New Roman"/>
          <w:sz w:val="18"/>
          <w:szCs w:val="18"/>
          <w:lang w:val="en-GB"/>
        </w:rPr>
        <w:t>EU</w:t>
      </w:r>
      <w:r w:rsidR="006A0FAF" w:rsidRPr="00C36AA3">
        <w:rPr>
          <w:rFonts w:ascii="Verdana" w:eastAsia="Times New Roman" w:hAnsi="Verdana" w:cs="Times New Roman"/>
          <w:sz w:val="18"/>
          <w:szCs w:val="18"/>
          <w:lang w:val="en-GB"/>
        </w:rPr>
        <w:t xml:space="preserve"> Advisory Bodies</w:t>
      </w:r>
      <w:r w:rsidR="006A0FAF">
        <w:rPr>
          <w:rFonts w:ascii="Verdana" w:eastAsia="Times New Roman" w:hAnsi="Verdana" w:cs="Times New Roman"/>
          <w:sz w:val="18"/>
          <w:szCs w:val="18"/>
          <w:lang w:val="en-GB"/>
        </w:rPr>
        <w:t xml:space="preserve"> (</w:t>
      </w:r>
      <w:proofErr w:type="spellStart"/>
      <w:r w:rsidR="006A0FAF">
        <w:rPr>
          <w:rFonts w:ascii="Verdana" w:eastAsia="Times New Roman" w:hAnsi="Verdana" w:cs="Times New Roman"/>
          <w:sz w:val="18"/>
          <w:szCs w:val="18"/>
          <w:lang w:val="en-GB"/>
        </w:rPr>
        <w:t>CoR</w:t>
      </w:r>
      <w:proofErr w:type="spellEnd"/>
      <w:r w:rsidR="006A0FAF">
        <w:rPr>
          <w:rFonts w:ascii="Verdana" w:eastAsia="Times New Roman" w:hAnsi="Verdana" w:cs="Times New Roman"/>
          <w:sz w:val="18"/>
          <w:szCs w:val="18"/>
          <w:lang w:val="en-GB"/>
        </w:rPr>
        <w:t>, EESC)</w:t>
      </w:r>
      <w:r w:rsidRPr="00C97E7D">
        <w:rPr>
          <w:rFonts w:ascii="Verdana" w:hAnsi="Verdana"/>
          <w:sz w:val="18"/>
          <w:szCs w:val="18"/>
          <w:lang w:val="en-GB"/>
        </w:rPr>
        <w:t xml:space="preserve">, </w:t>
      </w:r>
      <w:r w:rsidR="00CA273E">
        <w:rPr>
          <w:rFonts w:ascii="Verdana" w:hAnsi="Verdana"/>
          <w:sz w:val="18"/>
          <w:szCs w:val="18"/>
          <w:lang w:val="en-GB"/>
        </w:rPr>
        <w:t xml:space="preserve">representatives of </w:t>
      </w:r>
      <w:r w:rsidRPr="00C97E7D">
        <w:rPr>
          <w:rFonts w:ascii="Verdana" w:hAnsi="Verdana"/>
          <w:sz w:val="18"/>
          <w:szCs w:val="18"/>
          <w:lang w:val="en-GB"/>
        </w:rPr>
        <w:t xml:space="preserve">Urban authorities (CEMR, EUROCITIES), and </w:t>
      </w:r>
      <w:r w:rsidR="009109BA">
        <w:rPr>
          <w:rFonts w:ascii="Verdana" w:hAnsi="Verdana"/>
          <w:sz w:val="18"/>
          <w:szCs w:val="18"/>
          <w:lang w:val="en-GB"/>
        </w:rPr>
        <w:t xml:space="preserve">other </w:t>
      </w:r>
      <w:r w:rsidRPr="00C97E7D">
        <w:rPr>
          <w:rFonts w:ascii="Verdana" w:hAnsi="Verdana"/>
          <w:sz w:val="18"/>
          <w:szCs w:val="18"/>
          <w:lang w:val="en-GB"/>
        </w:rPr>
        <w:t>stakeholders (EIB, URBA</w:t>
      </w:r>
      <w:r w:rsidR="00031402" w:rsidRPr="00031402">
        <w:rPr>
          <w:rFonts w:ascii="Verdana" w:hAnsi="Verdana"/>
          <w:sz w:val="18"/>
          <w:szCs w:val="18"/>
          <w:lang w:val="en-GB"/>
        </w:rPr>
        <w:t>CT, ESPON). The EU Urban Agenda Board</w:t>
      </w:r>
      <w:r>
        <w:rPr>
          <w:rFonts w:ascii="Verdana" w:hAnsi="Verdana"/>
          <w:sz w:val="18"/>
          <w:szCs w:val="18"/>
          <w:lang w:val="en-GB"/>
        </w:rPr>
        <w:t xml:space="preserve"> </w:t>
      </w:r>
      <w:r w:rsidRPr="00C97E7D">
        <w:rPr>
          <w:rFonts w:ascii="Verdana" w:hAnsi="Verdana"/>
          <w:sz w:val="18"/>
          <w:szCs w:val="18"/>
          <w:lang w:val="en-GB"/>
        </w:rPr>
        <w:t>build</w:t>
      </w:r>
      <w:r w:rsidR="00031402" w:rsidRPr="00031402">
        <w:rPr>
          <w:rFonts w:ascii="Verdana" w:hAnsi="Verdana"/>
          <w:sz w:val="18"/>
          <w:szCs w:val="18"/>
          <w:lang w:val="en-GB"/>
        </w:rPr>
        <w:t>s</w:t>
      </w:r>
      <w:r w:rsidRPr="00C97E7D">
        <w:rPr>
          <w:rFonts w:ascii="Verdana" w:hAnsi="Verdana"/>
          <w:sz w:val="18"/>
          <w:szCs w:val="18"/>
          <w:lang w:val="en-GB"/>
        </w:rPr>
        <w:t xml:space="preserve"> on the DGs me</w:t>
      </w:r>
      <w:r w:rsidR="006A0FAF">
        <w:rPr>
          <w:rFonts w:ascii="Verdana" w:hAnsi="Verdana"/>
          <w:sz w:val="18"/>
          <w:szCs w:val="18"/>
          <w:lang w:val="en-GB"/>
        </w:rPr>
        <w:t>etings (Member States), whilst extending full membership to the</w:t>
      </w:r>
      <w:r w:rsidRPr="00C97E7D">
        <w:rPr>
          <w:rFonts w:ascii="Verdana" w:hAnsi="Verdana"/>
          <w:sz w:val="18"/>
          <w:szCs w:val="18"/>
          <w:lang w:val="en-GB"/>
        </w:rPr>
        <w:t xml:space="preserve"> European Commission, the European Parliament, the EU Consultative bodies, Urban authorities (CEMR, EUROCITIES), and </w:t>
      </w:r>
      <w:r w:rsidR="009109BA">
        <w:rPr>
          <w:rFonts w:ascii="Verdana" w:hAnsi="Verdana"/>
          <w:sz w:val="18"/>
          <w:szCs w:val="18"/>
          <w:lang w:val="en-GB"/>
        </w:rPr>
        <w:t xml:space="preserve">other </w:t>
      </w:r>
      <w:r w:rsidRPr="00C97E7D">
        <w:rPr>
          <w:rFonts w:ascii="Verdana" w:hAnsi="Verdana"/>
          <w:sz w:val="18"/>
          <w:szCs w:val="18"/>
          <w:lang w:val="en-GB"/>
        </w:rPr>
        <w:t>stakeholders (EIB, URBACT, ESPON)</w:t>
      </w:r>
      <w:r w:rsidRPr="00C97E7D">
        <w:rPr>
          <w:rStyle w:val="Voetnootmarkering"/>
          <w:rFonts w:ascii="Verdana" w:hAnsi="Verdana"/>
          <w:sz w:val="18"/>
          <w:szCs w:val="18"/>
        </w:rPr>
        <w:footnoteReference w:id="2"/>
      </w:r>
      <w:r w:rsidRPr="00C97E7D">
        <w:rPr>
          <w:rFonts w:ascii="Verdana" w:hAnsi="Verdana"/>
          <w:sz w:val="18"/>
          <w:szCs w:val="18"/>
          <w:lang w:val="en-GB"/>
        </w:rPr>
        <w:t>.</w:t>
      </w:r>
    </w:p>
    <w:p w:rsidR="00097799" w:rsidRDefault="00097799" w:rsidP="00097799">
      <w:pPr>
        <w:pStyle w:val="Lijstalinea"/>
        <w:spacing w:line="240" w:lineRule="auto"/>
        <w:ind w:left="0" w:right="-426"/>
        <w:jc w:val="both"/>
        <w:rPr>
          <w:rFonts w:ascii="Verdana" w:hAnsi="Verdana"/>
          <w:sz w:val="18"/>
          <w:szCs w:val="18"/>
          <w:lang w:val="en-GB"/>
        </w:rPr>
      </w:pPr>
    </w:p>
    <w:p w:rsidR="00097799" w:rsidRDefault="00C97E7D" w:rsidP="00097799">
      <w:pPr>
        <w:pStyle w:val="Lijstalinea"/>
        <w:spacing w:line="240" w:lineRule="auto"/>
        <w:ind w:left="0" w:right="-426"/>
        <w:jc w:val="both"/>
        <w:rPr>
          <w:rFonts w:ascii="Verdana" w:hAnsi="Verdana"/>
          <w:sz w:val="18"/>
          <w:szCs w:val="18"/>
          <w:lang w:val="en-GB"/>
        </w:rPr>
      </w:pPr>
      <w:r w:rsidRPr="00C97E7D">
        <w:rPr>
          <w:rFonts w:ascii="Verdana" w:hAnsi="Verdana"/>
          <w:sz w:val="18"/>
          <w:szCs w:val="18"/>
          <w:u w:val="single"/>
          <w:lang w:val="en-GB"/>
        </w:rPr>
        <w:t>Chair:</w:t>
      </w:r>
      <w:r w:rsidR="00031402">
        <w:rPr>
          <w:rFonts w:ascii="Verdana" w:hAnsi="Verdana"/>
          <w:sz w:val="18"/>
          <w:szCs w:val="18"/>
          <w:lang w:val="en-GB"/>
        </w:rPr>
        <w:t xml:space="preserve"> The EU Urban Agenda Board</w:t>
      </w:r>
      <w:r w:rsidRPr="00C97E7D">
        <w:rPr>
          <w:rFonts w:ascii="Verdana" w:hAnsi="Verdana"/>
          <w:sz w:val="18"/>
          <w:szCs w:val="18"/>
          <w:lang w:val="en-GB"/>
        </w:rPr>
        <w:t xml:space="preserve"> will be organised by the Presidency who will co-chair the meeting with the Commission. </w:t>
      </w:r>
    </w:p>
    <w:p w:rsidR="00097799" w:rsidRDefault="00097799" w:rsidP="00097799">
      <w:pPr>
        <w:pStyle w:val="Lijstalinea"/>
        <w:spacing w:line="240" w:lineRule="auto"/>
        <w:ind w:left="0" w:right="-426"/>
        <w:jc w:val="both"/>
        <w:rPr>
          <w:rFonts w:ascii="Verdana" w:hAnsi="Verdana"/>
          <w:sz w:val="18"/>
          <w:szCs w:val="18"/>
          <w:lang w:val="en-GB"/>
        </w:rPr>
      </w:pPr>
    </w:p>
    <w:p w:rsidR="00097799" w:rsidRDefault="00C97E7D" w:rsidP="00097799">
      <w:pPr>
        <w:pStyle w:val="Lijstalinea"/>
        <w:spacing w:line="240" w:lineRule="auto"/>
        <w:ind w:left="0"/>
        <w:jc w:val="both"/>
        <w:rPr>
          <w:rFonts w:ascii="Verdana" w:hAnsi="Verdana"/>
          <w:sz w:val="18"/>
          <w:szCs w:val="18"/>
          <w:lang w:val="en-GB"/>
        </w:rPr>
      </w:pPr>
      <w:r w:rsidRPr="00C97E7D">
        <w:rPr>
          <w:rFonts w:ascii="Verdana" w:hAnsi="Verdana"/>
          <w:sz w:val="18"/>
          <w:szCs w:val="18"/>
          <w:u w:val="single"/>
          <w:lang w:val="en-GB"/>
        </w:rPr>
        <w:t>Decision:</w:t>
      </w:r>
      <w:r w:rsidRPr="00C97E7D">
        <w:rPr>
          <w:rFonts w:ascii="Verdana" w:hAnsi="Verdana"/>
          <w:sz w:val="18"/>
          <w:szCs w:val="18"/>
          <w:lang w:val="en-GB"/>
        </w:rPr>
        <w:t xml:space="preserve"> Ideally, decisions </w:t>
      </w:r>
      <w:r w:rsidR="00A64313">
        <w:rPr>
          <w:rFonts w:ascii="Verdana" w:hAnsi="Verdana"/>
          <w:sz w:val="18"/>
          <w:szCs w:val="18"/>
          <w:lang w:val="en-GB"/>
        </w:rPr>
        <w:t>are</w:t>
      </w:r>
      <w:r w:rsidRPr="00C97E7D">
        <w:rPr>
          <w:rFonts w:ascii="Verdana" w:hAnsi="Verdana"/>
          <w:sz w:val="18"/>
          <w:szCs w:val="18"/>
          <w:lang w:val="en-GB"/>
        </w:rPr>
        <w:t xml:space="preserve"> taken by consensus. If a consensus cannot be found amongst the members, the position of each disagree</w:t>
      </w:r>
      <w:r w:rsidR="00A64313">
        <w:rPr>
          <w:rFonts w:ascii="Verdana" w:hAnsi="Verdana"/>
          <w:sz w:val="18"/>
          <w:szCs w:val="18"/>
          <w:lang w:val="en-GB"/>
        </w:rPr>
        <w:t>ing party</w:t>
      </w:r>
      <w:r w:rsidRPr="00C97E7D">
        <w:rPr>
          <w:rFonts w:ascii="Verdana" w:hAnsi="Verdana"/>
          <w:sz w:val="18"/>
          <w:szCs w:val="18"/>
          <w:lang w:val="en-GB"/>
        </w:rPr>
        <w:t xml:space="preserve"> should be recorded. If the number and importance of these disagreements is limited, the decision is still valid but does not commit those disagree</w:t>
      </w:r>
      <w:r w:rsidR="00A64313">
        <w:rPr>
          <w:rFonts w:ascii="Verdana" w:hAnsi="Verdana"/>
          <w:sz w:val="18"/>
          <w:szCs w:val="18"/>
          <w:lang w:val="en-GB"/>
        </w:rPr>
        <w:t>ing</w:t>
      </w:r>
      <w:r w:rsidRPr="00C97E7D">
        <w:rPr>
          <w:rFonts w:ascii="Verdana" w:hAnsi="Verdana"/>
          <w:sz w:val="18"/>
          <w:szCs w:val="18"/>
          <w:lang w:val="en-GB"/>
        </w:rPr>
        <w:t xml:space="preserve"> (as the participation to the EU Urban Agenda is voluntary).</w:t>
      </w:r>
    </w:p>
    <w:p w:rsidR="00097799" w:rsidRDefault="00097799" w:rsidP="00097799">
      <w:pPr>
        <w:pStyle w:val="Lijstalinea"/>
        <w:spacing w:line="240" w:lineRule="auto"/>
        <w:ind w:left="0"/>
        <w:jc w:val="both"/>
        <w:rPr>
          <w:rFonts w:ascii="Verdana" w:hAnsi="Verdana"/>
          <w:sz w:val="18"/>
          <w:szCs w:val="18"/>
          <w:lang w:val="en-GB"/>
        </w:rPr>
      </w:pPr>
    </w:p>
    <w:p w:rsidR="00097799" w:rsidRDefault="00C97E7D" w:rsidP="00097799">
      <w:pPr>
        <w:pStyle w:val="Lijstalinea"/>
        <w:spacing w:line="240" w:lineRule="auto"/>
        <w:ind w:left="0"/>
        <w:rPr>
          <w:lang w:val="en-GB"/>
        </w:rPr>
      </w:pPr>
      <w:r w:rsidRPr="00C97E7D">
        <w:rPr>
          <w:rFonts w:ascii="Verdana" w:hAnsi="Verdana"/>
          <w:sz w:val="18"/>
          <w:szCs w:val="18"/>
          <w:u w:val="single"/>
          <w:lang w:val="en-GB"/>
        </w:rPr>
        <w:t>Preparation:</w:t>
      </w:r>
      <w:r w:rsidRPr="00C97E7D">
        <w:rPr>
          <w:rFonts w:ascii="Verdana" w:hAnsi="Verdana"/>
          <w:sz w:val="18"/>
          <w:szCs w:val="18"/>
          <w:lang w:val="en-GB"/>
        </w:rPr>
        <w:t xml:space="preserve"> The </w:t>
      </w:r>
      <w:r w:rsidR="00031402">
        <w:rPr>
          <w:rFonts w:ascii="Verdana" w:hAnsi="Verdana"/>
          <w:sz w:val="18"/>
          <w:szCs w:val="18"/>
          <w:lang w:val="en-GB"/>
        </w:rPr>
        <w:t xml:space="preserve">EU Urban Agenda Board </w:t>
      </w:r>
      <w:r w:rsidRPr="00C97E7D">
        <w:rPr>
          <w:rFonts w:ascii="Verdana" w:hAnsi="Verdana"/>
          <w:sz w:val="18"/>
          <w:szCs w:val="18"/>
          <w:lang w:val="en-GB"/>
        </w:rPr>
        <w:t>will be prepared during the regular Urban Development Group (UDG) meetings.</w:t>
      </w:r>
    </w:p>
    <w:p w:rsidR="00A226EE" w:rsidRDefault="00A226EE" w:rsidP="00097799">
      <w:pPr>
        <w:shd w:val="clear" w:color="auto" w:fill="FFFFFF"/>
        <w:spacing w:line="240" w:lineRule="auto"/>
        <w:rPr>
          <w:rFonts w:ascii="Verdana" w:eastAsia="Times New Roman" w:hAnsi="Verdana" w:cs="Helvetica"/>
          <w:color w:val="000000"/>
          <w:sz w:val="18"/>
          <w:szCs w:val="18"/>
          <w:lang w:val="en-US"/>
        </w:rPr>
      </w:pPr>
    </w:p>
    <w:p w:rsidR="00A226EE" w:rsidRPr="00A226EE" w:rsidRDefault="00E56EDA" w:rsidP="00097799">
      <w:pPr>
        <w:shd w:val="clear" w:color="auto" w:fill="FFFFFF"/>
        <w:spacing w:line="240" w:lineRule="auto"/>
        <w:rPr>
          <w:rFonts w:ascii="Verdana" w:eastAsia="Times New Roman" w:hAnsi="Verdana" w:cs="Helvetica"/>
          <w:b/>
          <w:color w:val="000000"/>
          <w:sz w:val="18"/>
          <w:szCs w:val="18"/>
          <w:lang w:val="en-US"/>
        </w:rPr>
      </w:pPr>
      <w:r>
        <w:rPr>
          <w:rFonts w:ascii="Verdana" w:eastAsia="Times New Roman" w:hAnsi="Verdana" w:cs="Helvetica"/>
          <w:b/>
          <w:color w:val="000000"/>
          <w:sz w:val="18"/>
          <w:szCs w:val="18"/>
          <w:lang w:val="en-US"/>
        </w:rPr>
        <w:t>E</w:t>
      </w:r>
      <w:r w:rsidR="00A226EE" w:rsidRPr="00A226EE">
        <w:rPr>
          <w:rFonts w:ascii="Verdana" w:eastAsia="Times New Roman" w:hAnsi="Verdana" w:cs="Helvetica"/>
          <w:b/>
          <w:color w:val="000000"/>
          <w:sz w:val="18"/>
          <w:szCs w:val="18"/>
          <w:lang w:val="en-US"/>
        </w:rPr>
        <w:t>) Working method of the Partnerships</w:t>
      </w:r>
    </w:p>
    <w:p w:rsidR="00A226EE" w:rsidRPr="00C37158" w:rsidRDefault="00383C89" w:rsidP="00097799">
      <w:pPr>
        <w:shd w:val="clear" w:color="auto" w:fill="FFFFFF"/>
        <w:spacing w:line="240" w:lineRule="auto"/>
        <w:jc w:val="both"/>
        <w:rPr>
          <w:rFonts w:ascii="Verdana" w:eastAsia="Times New Roman" w:hAnsi="Verdana" w:cs="Helvetica"/>
          <w:b/>
          <w:i/>
          <w:color w:val="000000"/>
          <w:sz w:val="18"/>
          <w:szCs w:val="18"/>
          <w:lang w:val="en-US"/>
        </w:rPr>
      </w:pPr>
      <w:r>
        <w:rPr>
          <w:rFonts w:ascii="Verdana" w:eastAsia="Times New Roman" w:hAnsi="Verdana" w:cs="Helvetica"/>
          <w:b/>
          <w:i/>
          <w:color w:val="000000"/>
          <w:sz w:val="18"/>
          <w:szCs w:val="18"/>
          <w:u w:val="single"/>
          <w:lang w:val="en-US"/>
        </w:rPr>
        <w:t xml:space="preserve">I </w:t>
      </w:r>
      <w:r w:rsidR="00A226EE" w:rsidRPr="00C37158">
        <w:rPr>
          <w:rFonts w:ascii="Verdana" w:eastAsia="Times New Roman" w:hAnsi="Verdana" w:cs="Helvetica"/>
          <w:b/>
          <w:i/>
          <w:color w:val="000000"/>
          <w:sz w:val="18"/>
          <w:szCs w:val="18"/>
          <w:u w:val="single"/>
          <w:lang w:val="en-US"/>
        </w:rPr>
        <w:t>ORGANISATION</w:t>
      </w:r>
    </w:p>
    <w:p w:rsidR="00A226EE" w:rsidRPr="00097799" w:rsidRDefault="00A226EE" w:rsidP="00097799">
      <w:pPr>
        <w:pStyle w:val="Lijstalinea"/>
        <w:numPr>
          <w:ilvl w:val="0"/>
          <w:numId w:val="17"/>
        </w:numPr>
        <w:shd w:val="clear" w:color="auto" w:fill="FFFFFF"/>
        <w:spacing w:line="240" w:lineRule="auto"/>
        <w:rPr>
          <w:rFonts w:ascii="Verdana" w:eastAsia="Times New Roman" w:hAnsi="Verdana" w:cs="Helvetica"/>
          <w:color w:val="000000"/>
          <w:sz w:val="18"/>
          <w:szCs w:val="18"/>
          <w:lang w:val="en-US"/>
        </w:rPr>
      </w:pPr>
      <w:r w:rsidRPr="00097799">
        <w:rPr>
          <w:rFonts w:ascii="Verdana" w:eastAsia="Times New Roman" w:hAnsi="Verdana" w:cs="Helvetica"/>
          <w:color w:val="000000"/>
          <w:sz w:val="18"/>
          <w:szCs w:val="18"/>
          <w:u w:val="single"/>
          <w:lang w:val="en-US"/>
        </w:rPr>
        <w:t>Membership</w:t>
      </w:r>
      <w:r w:rsidRPr="00097799">
        <w:rPr>
          <w:rFonts w:ascii="Verdana" w:eastAsia="Times New Roman" w:hAnsi="Verdana" w:cs="Helvetica"/>
          <w:color w:val="000000"/>
          <w:sz w:val="18"/>
          <w:szCs w:val="18"/>
          <w:lang w:val="en-US"/>
        </w:rPr>
        <w:t>: Each Partnership is made up of</w:t>
      </w:r>
      <w:r w:rsidR="009109BA">
        <w:rPr>
          <w:rFonts w:ascii="Verdana" w:eastAsia="Times New Roman" w:hAnsi="Verdana" w:cs="Helvetica"/>
          <w:color w:val="000000"/>
          <w:sz w:val="18"/>
          <w:szCs w:val="18"/>
          <w:lang w:val="en-US"/>
        </w:rPr>
        <w:t xml:space="preserve"> Urban A</w:t>
      </w:r>
      <w:r w:rsidR="00D41D29" w:rsidRPr="00097799">
        <w:rPr>
          <w:rFonts w:ascii="Verdana" w:eastAsia="Times New Roman" w:hAnsi="Verdana" w:cs="Helvetica"/>
          <w:color w:val="000000"/>
          <w:sz w:val="18"/>
          <w:szCs w:val="18"/>
          <w:lang w:val="en-US"/>
        </w:rPr>
        <w:t>reas (</w:t>
      </w:r>
      <w:r w:rsidR="00A64313">
        <w:rPr>
          <w:rFonts w:ascii="Verdana" w:eastAsia="Times New Roman" w:hAnsi="Verdana" w:cs="Helvetica"/>
          <w:color w:val="000000"/>
          <w:sz w:val="18"/>
          <w:szCs w:val="18"/>
          <w:lang w:val="en-US"/>
        </w:rPr>
        <w:t>c</w:t>
      </w:r>
      <w:r w:rsidR="00D41D29" w:rsidRPr="00097799">
        <w:rPr>
          <w:rFonts w:ascii="Verdana" w:eastAsia="Times New Roman" w:hAnsi="Verdana" w:cs="Helvetica"/>
          <w:color w:val="000000"/>
          <w:sz w:val="18"/>
          <w:szCs w:val="18"/>
          <w:lang w:val="en-US"/>
        </w:rPr>
        <w:t>ities),</w:t>
      </w:r>
      <w:r w:rsidRPr="00097799">
        <w:rPr>
          <w:rFonts w:ascii="Verdana" w:eastAsia="Times New Roman" w:hAnsi="Verdana" w:cs="Helvetica"/>
          <w:color w:val="000000"/>
          <w:sz w:val="18"/>
          <w:szCs w:val="18"/>
          <w:lang w:val="en-US"/>
        </w:rPr>
        <w:t xml:space="preserve"> the Commission (</w:t>
      </w:r>
      <w:r w:rsidR="00A64313">
        <w:rPr>
          <w:rFonts w:ascii="Verdana" w:eastAsia="Times New Roman" w:hAnsi="Verdana" w:cs="Helvetica"/>
          <w:color w:val="000000"/>
          <w:sz w:val="18"/>
          <w:szCs w:val="18"/>
          <w:lang w:val="en-US"/>
        </w:rPr>
        <w:t>which</w:t>
      </w:r>
      <w:r w:rsidR="00A64313" w:rsidRPr="00097799">
        <w:rPr>
          <w:rFonts w:ascii="Verdana" w:eastAsia="Times New Roman" w:hAnsi="Verdana" w:cs="Helvetica"/>
          <w:color w:val="000000"/>
          <w:sz w:val="18"/>
          <w:szCs w:val="18"/>
          <w:lang w:val="en-US"/>
        </w:rPr>
        <w:t xml:space="preserve"> </w:t>
      </w:r>
      <w:r w:rsidRPr="00097799">
        <w:rPr>
          <w:rFonts w:ascii="Verdana" w:eastAsia="Times New Roman" w:hAnsi="Verdana" w:cs="Helvetica"/>
          <w:color w:val="000000"/>
          <w:sz w:val="18"/>
          <w:szCs w:val="18"/>
          <w:lang w:val="en-US"/>
        </w:rPr>
        <w:t xml:space="preserve">facilitates the process), Member States, experts, European </w:t>
      </w:r>
      <w:proofErr w:type="spellStart"/>
      <w:r w:rsidRPr="00097799">
        <w:rPr>
          <w:rFonts w:ascii="Verdana" w:eastAsia="Times New Roman" w:hAnsi="Verdana" w:cs="Helvetica"/>
          <w:color w:val="000000"/>
          <w:sz w:val="18"/>
          <w:szCs w:val="18"/>
          <w:lang w:val="en-US"/>
        </w:rPr>
        <w:t>Organisations</w:t>
      </w:r>
      <w:proofErr w:type="spellEnd"/>
      <w:r w:rsidRPr="00097799">
        <w:rPr>
          <w:rFonts w:ascii="Verdana" w:eastAsia="Times New Roman" w:hAnsi="Verdana" w:cs="Helvetica"/>
          <w:color w:val="000000"/>
          <w:sz w:val="18"/>
          <w:szCs w:val="18"/>
          <w:lang w:val="en-US"/>
        </w:rPr>
        <w:t xml:space="preserve"> (e.g. </w:t>
      </w:r>
      <w:r w:rsidR="00A64313">
        <w:rPr>
          <w:rFonts w:ascii="Verdana" w:eastAsia="Times New Roman" w:hAnsi="Verdana" w:cs="Helvetica"/>
          <w:color w:val="000000"/>
          <w:sz w:val="18"/>
          <w:szCs w:val="18"/>
          <w:lang w:val="en-US"/>
        </w:rPr>
        <w:t>EUROCITIES</w:t>
      </w:r>
      <w:r w:rsidRPr="00097799">
        <w:rPr>
          <w:rFonts w:ascii="Verdana" w:eastAsia="Times New Roman" w:hAnsi="Verdana" w:cs="Helvetica"/>
          <w:color w:val="000000"/>
          <w:sz w:val="18"/>
          <w:szCs w:val="18"/>
          <w:lang w:val="en-US"/>
        </w:rPr>
        <w:t>, EIB, URBACT), and stakeholders (NGOs, business, etc.). Participation is voluntary and open to all those interested, politically committed and ready to dedicate resources. The size of a</w:t>
      </w:r>
      <w:r w:rsidR="00097799">
        <w:rPr>
          <w:rFonts w:ascii="Verdana" w:eastAsia="Times New Roman" w:hAnsi="Verdana" w:cs="Helvetica"/>
          <w:color w:val="000000"/>
          <w:sz w:val="18"/>
          <w:szCs w:val="18"/>
          <w:lang w:val="en-US"/>
        </w:rPr>
        <w:t xml:space="preserve"> Partnership is about 15 partners</w:t>
      </w:r>
      <w:r w:rsidRPr="00097799">
        <w:rPr>
          <w:rFonts w:ascii="Verdana" w:eastAsia="Times New Roman" w:hAnsi="Verdana" w:cs="Helvetica"/>
          <w:color w:val="000000"/>
          <w:sz w:val="18"/>
          <w:szCs w:val="18"/>
          <w:lang w:val="en-US"/>
        </w:rPr>
        <w:t xml:space="preserve"> (balanced composition</w:t>
      </w:r>
      <w:r>
        <w:rPr>
          <w:rStyle w:val="Voetnootmarkering"/>
          <w:rFonts w:ascii="Verdana" w:eastAsia="Times New Roman" w:hAnsi="Verdana" w:cs="Helvetica"/>
          <w:color w:val="000000"/>
          <w:sz w:val="18"/>
          <w:szCs w:val="18"/>
          <w:lang w:val="en-US"/>
        </w:rPr>
        <w:footnoteReference w:id="3"/>
      </w:r>
      <w:r w:rsidR="004E4673">
        <w:rPr>
          <w:rFonts w:ascii="Verdana" w:eastAsia="Times New Roman" w:hAnsi="Verdana" w:cs="Helvetica"/>
          <w:color w:val="000000"/>
          <w:sz w:val="18"/>
          <w:szCs w:val="18"/>
          <w:lang w:val="en-US"/>
        </w:rPr>
        <w:t>)</w:t>
      </w:r>
      <w:r w:rsidRPr="00097799">
        <w:rPr>
          <w:rFonts w:ascii="Verdana" w:eastAsia="Times New Roman" w:hAnsi="Verdana" w:cs="Helvetica"/>
          <w:color w:val="000000"/>
          <w:sz w:val="18"/>
          <w:szCs w:val="18"/>
          <w:lang w:val="en-US"/>
        </w:rPr>
        <w:t>. It is important that all members of the Partnership have extensive experience and expertise on the topic.</w:t>
      </w:r>
    </w:p>
    <w:p w:rsidR="00A226EE" w:rsidRPr="00A226EE" w:rsidRDefault="00A226EE" w:rsidP="00097799">
      <w:pPr>
        <w:shd w:val="clear" w:color="auto" w:fill="FFFFFF"/>
        <w:spacing w:line="240" w:lineRule="auto"/>
        <w:ind w:left="708"/>
        <w:jc w:val="both"/>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Composition of the Partnership: </w:t>
      </w:r>
      <w:r w:rsidR="009B67C4">
        <w:rPr>
          <w:rFonts w:ascii="Verdana" w:eastAsia="Times New Roman" w:hAnsi="Verdana" w:cs="Helvetica"/>
          <w:color w:val="000000"/>
          <w:sz w:val="18"/>
          <w:szCs w:val="18"/>
          <w:lang w:val="en-US"/>
        </w:rPr>
        <w:t>D</w:t>
      </w:r>
      <w:r w:rsidRPr="00A226EE">
        <w:rPr>
          <w:rFonts w:ascii="Verdana" w:eastAsia="Times New Roman" w:hAnsi="Verdana" w:cs="Helvetica"/>
          <w:color w:val="000000"/>
          <w:sz w:val="18"/>
          <w:szCs w:val="18"/>
          <w:lang w:val="en-US"/>
        </w:rPr>
        <w:t xml:space="preserve">epending on the topic the composition of the partnership </w:t>
      </w:r>
      <w:r w:rsidR="006A0FAF">
        <w:rPr>
          <w:rFonts w:ascii="Verdana" w:eastAsia="Times New Roman" w:hAnsi="Verdana" w:cs="Helvetica"/>
          <w:color w:val="000000"/>
          <w:sz w:val="18"/>
          <w:szCs w:val="18"/>
          <w:lang w:val="en-US"/>
        </w:rPr>
        <w:t>can be between 15 and</w:t>
      </w:r>
      <w:r w:rsidR="00097799">
        <w:rPr>
          <w:rFonts w:ascii="Verdana" w:eastAsia="Times New Roman" w:hAnsi="Verdana" w:cs="Helvetica"/>
          <w:color w:val="000000"/>
          <w:sz w:val="18"/>
          <w:szCs w:val="18"/>
          <w:lang w:val="en-US"/>
        </w:rPr>
        <w:t xml:space="preserve"> 20 partners</w:t>
      </w:r>
      <w:r w:rsidR="004F18F6">
        <w:rPr>
          <w:rFonts w:ascii="Verdana" w:eastAsia="Times New Roman" w:hAnsi="Verdana" w:cs="Helvetica"/>
          <w:color w:val="000000"/>
          <w:sz w:val="18"/>
          <w:szCs w:val="18"/>
          <w:lang w:val="en-US"/>
        </w:rPr>
        <w:t>.</w:t>
      </w:r>
      <w:r w:rsidR="004F18F6" w:rsidRPr="00A226EE">
        <w:rPr>
          <w:rFonts w:ascii="Verdana" w:eastAsia="Times New Roman" w:hAnsi="Verdana" w:cs="Helvetica"/>
          <w:color w:val="000000"/>
          <w:sz w:val="18"/>
          <w:szCs w:val="18"/>
          <w:lang w:val="en-US"/>
        </w:rPr>
        <w:t xml:space="preserve">  </w:t>
      </w:r>
    </w:p>
    <w:p w:rsidR="00A226EE" w:rsidRPr="00097799" w:rsidRDefault="00A64313" w:rsidP="00097799">
      <w:pPr>
        <w:pStyle w:val="Lijstalinea"/>
        <w:numPr>
          <w:ilvl w:val="0"/>
          <w:numId w:val="18"/>
        </w:numPr>
        <w:shd w:val="clear" w:color="auto" w:fill="FFFFFF"/>
        <w:spacing w:line="240" w:lineRule="auto"/>
        <w:rPr>
          <w:rFonts w:ascii="Verdana" w:eastAsia="Times New Roman" w:hAnsi="Verdana" w:cs="Helvetica"/>
          <w:color w:val="000000"/>
          <w:sz w:val="18"/>
          <w:szCs w:val="18"/>
          <w:lang w:val="en-US"/>
        </w:rPr>
      </w:pPr>
      <w:r>
        <w:rPr>
          <w:rFonts w:ascii="Verdana" w:eastAsia="Times New Roman" w:hAnsi="Verdana" w:cs="Helvetica"/>
          <w:color w:val="000000"/>
          <w:sz w:val="18"/>
          <w:szCs w:val="18"/>
          <w:lang w:val="en-US"/>
        </w:rPr>
        <w:t xml:space="preserve">Five </w:t>
      </w:r>
      <w:r w:rsidR="009109BA">
        <w:rPr>
          <w:rFonts w:ascii="Verdana" w:eastAsia="Times New Roman" w:hAnsi="Verdana" w:cs="Helvetica"/>
          <w:color w:val="000000"/>
          <w:sz w:val="18"/>
          <w:szCs w:val="18"/>
          <w:lang w:val="en-US"/>
        </w:rPr>
        <w:t>Urban A</w:t>
      </w:r>
      <w:r w:rsidR="00A226EE" w:rsidRPr="00097799">
        <w:rPr>
          <w:rFonts w:ascii="Verdana" w:eastAsia="Times New Roman" w:hAnsi="Verdana" w:cs="Helvetica"/>
          <w:color w:val="000000"/>
          <w:sz w:val="18"/>
          <w:szCs w:val="18"/>
          <w:lang w:val="en-US"/>
        </w:rPr>
        <w:t>reas</w:t>
      </w:r>
      <w:r w:rsidR="009D2EA6" w:rsidRPr="00097799">
        <w:rPr>
          <w:rFonts w:ascii="Verdana" w:eastAsia="Times New Roman" w:hAnsi="Verdana" w:cs="Helvetica"/>
          <w:color w:val="000000"/>
          <w:sz w:val="18"/>
          <w:szCs w:val="18"/>
          <w:lang w:val="en-US"/>
        </w:rPr>
        <w:t xml:space="preserve"> to be nominated by</w:t>
      </w:r>
      <w:r w:rsidR="005A6709" w:rsidRPr="00097799">
        <w:rPr>
          <w:rFonts w:ascii="Verdana" w:eastAsia="Times New Roman" w:hAnsi="Verdana" w:cs="Helvetica"/>
          <w:color w:val="000000"/>
          <w:sz w:val="18"/>
          <w:szCs w:val="18"/>
          <w:lang w:val="en-US"/>
        </w:rPr>
        <w:t xml:space="preserve"> the following parties</w:t>
      </w:r>
      <w:r w:rsidR="00A226EE" w:rsidRPr="00097799">
        <w:rPr>
          <w:rFonts w:ascii="Verdana" w:eastAsia="Times New Roman" w:hAnsi="Verdana" w:cs="Helvetica"/>
          <w:color w:val="000000"/>
          <w:sz w:val="18"/>
          <w:szCs w:val="18"/>
          <w:lang w:val="en-US"/>
        </w:rPr>
        <w:t>: </w:t>
      </w:r>
    </w:p>
    <w:p w:rsidR="00A226EE" w:rsidRPr="00A226EE" w:rsidRDefault="00A226EE" w:rsidP="00097799">
      <w:pPr>
        <w:shd w:val="clear" w:color="auto" w:fill="FFFFFF"/>
        <w:spacing w:line="240" w:lineRule="auto"/>
        <w:ind w:left="1416"/>
        <w:rPr>
          <w:rFonts w:ascii="Verdana" w:eastAsiaTheme="minorHAnsi" w:hAnsi="Verdana" w:cs="Times New Roman"/>
          <w:sz w:val="18"/>
          <w:szCs w:val="18"/>
          <w:lang w:val="en-US"/>
        </w:rPr>
      </w:pPr>
      <w:r w:rsidRPr="00A226EE">
        <w:rPr>
          <w:rFonts w:ascii="Verdana" w:hAnsi="Verdana"/>
          <w:sz w:val="18"/>
          <w:szCs w:val="18"/>
          <w:lang w:val="en-US"/>
        </w:rPr>
        <w:t xml:space="preserve">a. URBACT; </w:t>
      </w:r>
    </w:p>
    <w:p w:rsidR="00A226EE" w:rsidRPr="00A226EE" w:rsidRDefault="00A226EE" w:rsidP="00097799">
      <w:pPr>
        <w:shd w:val="clear" w:color="auto" w:fill="FFFFFF"/>
        <w:spacing w:line="240" w:lineRule="auto"/>
        <w:ind w:left="1416"/>
        <w:rPr>
          <w:rFonts w:ascii="Verdana" w:hAnsi="Verdana"/>
          <w:sz w:val="18"/>
          <w:szCs w:val="18"/>
          <w:lang w:val="en-US"/>
        </w:rPr>
      </w:pPr>
      <w:r w:rsidRPr="00A226EE">
        <w:rPr>
          <w:rFonts w:ascii="Verdana" w:hAnsi="Verdana"/>
          <w:sz w:val="18"/>
          <w:szCs w:val="18"/>
          <w:lang w:val="en-US"/>
        </w:rPr>
        <w:t xml:space="preserve">b. </w:t>
      </w:r>
      <w:r w:rsidR="00A64313">
        <w:rPr>
          <w:rFonts w:ascii="Verdana" w:hAnsi="Verdana"/>
          <w:sz w:val="18"/>
          <w:szCs w:val="18"/>
          <w:lang w:val="en-US"/>
        </w:rPr>
        <w:t>EUROCITIES</w:t>
      </w:r>
      <w:r w:rsidRPr="00A226EE">
        <w:rPr>
          <w:rFonts w:ascii="Verdana" w:hAnsi="Verdana"/>
          <w:sz w:val="18"/>
          <w:szCs w:val="18"/>
          <w:lang w:val="en-US"/>
        </w:rPr>
        <w:t>;</w:t>
      </w:r>
    </w:p>
    <w:p w:rsidR="00A226EE" w:rsidRPr="00A226EE" w:rsidRDefault="00A226EE" w:rsidP="00097799">
      <w:pPr>
        <w:shd w:val="clear" w:color="auto" w:fill="FFFFFF"/>
        <w:spacing w:line="240" w:lineRule="auto"/>
        <w:ind w:left="1416"/>
        <w:rPr>
          <w:rFonts w:ascii="Verdana" w:hAnsi="Verdana"/>
          <w:sz w:val="18"/>
          <w:szCs w:val="18"/>
          <w:lang w:val="en-US"/>
        </w:rPr>
      </w:pPr>
      <w:r w:rsidRPr="00A226EE">
        <w:rPr>
          <w:rFonts w:ascii="Verdana" w:hAnsi="Verdana"/>
          <w:sz w:val="18"/>
          <w:szCs w:val="18"/>
          <w:lang w:val="en-US"/>
        </w:rPr>
        <w:t>c. CEMR;</w:t>
      </w:r>
    </w:p>
    <w:p w:rsidR="005A6709" w:rsidRDefault="00A226EE" w:rsidP="00097799">
      <w:pPr>
        <w:shd w:val="clear" w:color="auto" w:fill="FFFFFF"/>
        <w:spacing w:line="240" w:lineRule="auto"/>
        <w:ind w:left="1416"/>
        <w:rPr>
          <w:rFonts w:ascii="Verdana" w:hAnsi="Verdana"/>
          <w:sz w:val="18"/>
          <w:szCs w:val="18"/>
          <w:lang w:val="en-US"/>
        </w:rPr>
      </w:pPr>
      <w:r w:rsidRPr="00A226EE">
        <w:rPr>
          <w:rFonts w:ascii="Verdana" w:hAnsi="Verdana"/>
          <w:sz w:val="18"/>
          <w:szCs w:val="18"/>
          <w:lang w:val="en-US"/>
        </w:rPr>
        <w:t>d. the Committee of the Regions;</w:t>
      </w:r>
    </w:p>
    <w:p w:rsidR="0049546C" w:rsidRPr="00097799" w:rsidRDefault="0049546C" w:rsidP="00097799">
      <w:pPr>
        <w:shd w:val="clear" w:color="auto" w:fill="FFFFFF"/>
        <w:spacing w:line="240" w:lineRule="auto"/>
        <w:ind w:left="1416"/>
        <w:rPr>
          <w:rFonts w:ascii="Verdana" w:hAnsi="Verdana"/>
          <w:sz w:val="18"/>
          <w:szCs w:val="18"/>
          <w:lang w:val="en-US"/>
        </w:rPr>
      </w:pPr>
      <w:r>
        <w:rPr>
          <w:rFonts w:ascii="Verdana" w:hAnsi="Verdana"/>
          <w:sz w:val="18"/>
          <w:szCs w:val="18"/>
          <w:lang w:val="en-US"/>
        </w:rPr>
        <w:t xml:space="preserve">e. </w:t>
      </w:r>
      <w:r w:rsidR="005A6709">
        <w:rPr>
          <w:lang w:val="en-US"/>
        </w:rPr>
        <w:t xml:space="preserve">the Partnership itself. The coordinator will make a final decision, after consulting with </w:t>
      </w:r>
      <w:r w:rsidR="009109BA">
        <w:rPr>
          <w:lang w:val="en-US"/>
        </w:rPr>
        <w:t>other partners, on which fifth Urban A</w:t>
      </w:r>
      <w:r w:rsidR="005A6709">
        <w:rPr>
          <w:lang w:val="en-US"/>
        </w:rPr>
        <w:t xml:space="preserve">reas (and its network) will be invited to join the partnership. </w:t>
      </w:r>
    </w:p>
    <w:p w:rsidR="00097799" w:rsidRPr="00097799" w:rsidRDefault="00A64313" w:rsidP="00097799">
      <w:pPr>
        <w:pStyle w:val="Lijstalinea"/>
        <w:numPr>
          <w:ilvl w:val="0"/>
          <w:numId w:val="18"/>
        </w:numPr>
        <w:shd w:val="clear" w:color="auto" w:fill="FFFFFF"/>
        <w:spacing w:line="240" w:lineRule="auto"/>
        <w:rPr>
          <w:rFonts w:ascii="Verdana" w:hAnsi="Verdana"/>
          <w:sz w:val="18"/>
          <w:szCs w:val="18"/>
          <w:lang w:val="en-US"/>
        </w:rPr>
      </w:pPr>
      <w:r>
        <w:rPr>
          <w:rFonts w:ascii="Verdana" w:eastAsia="Times New Roman" w:hAnsi="Verdana" w:cs="Helvetica"/>
          <w:color w:val="000000"/>
          <w:sz w:val="18"/>
          <w:szCs w:val="18"/>
          <w:lang w:val="en-US"/>
        </w:rPr>
        <w:t>Five</w:t>
      </w:r>
      <w:r w:rsidRPr="00097799">
        <w:rPr>
          <w:rFonts w:ascii="Verdana" w:eastAsia="Times New Roman" w:hAnsi="Verdana" w:cs="Helvetica"/>
          <w:color w:val="000000"/>
          <w:sz w:val="18"/>
          <w:szCs w:val="18"/>
          <w:lang w:val="en-US"/>
        </w:rPr>
        <w:t xml:space="preserve"> </w:t>
      </w:r>
      <w:r>
        <w:rPr>
          <w:rFonts w:ascii="Verdana" w:eastAsia="Times New Roman" w:hAnsi="Verdana" w:cs="Helvetica"/>
          <w:color w:val="000000"/>
          <w:sz w:val="18"/>
          <w:szCs w:val="18"/>
          <w:lang w:val="en-US"/>
        </w:rPr>
        <w:t>M</w:t>
      </w:r>
      <w:r w:rsidR="0091760E" w:rsidRPr="00097799">
        <w:rPr>
          <w:rFonts w:ascii="Verdana" w:eastAsia="Times New Roman" w:hAnsi="Verdana" w:cs="Helvetica"/>
          <w:color w:val="000000"/>
          <w:sz w:val="18"/>
          <w:szCs w:val="18"/>
          <w:lang w:val="en-US"/>
        </w:rPr>
        <w:t xml:space="preserve">ember </w:t>
      </w:r>
      <w:r>
        <w:rPr>
          <w:rFonts w:ascii="Verdana" w:eastAsia="Times New Roman" w:hAnsi="Verdana" w:cs="Helvetica"/>
          <w:color w:val="000000"/>
          <w:sz w:val="18"/>
          <w:szCs w:val="18"/>
          <w:lang w:val="en-US"/>
        </w:rPr>
        <w:t>S</w:t>
      </w:r>
      <w:r w:rsidR="0091760E" w:rsidRPr="00097799">
        <w:rPr>
          <w:rFonts w:ascii="Verdana" w:eastAsia="Times New Roman" w:hAnsi="Verdana" w:cs="Helvetica"/>
          <w:color w:val="000000"/>
          <w:sz w:val="18"/>
          <w:szCs w:val="18"/>
          <w:lang w:val="en-US"/>
        </w:rPr>
        <w:t xml:space="preserve">tates to be </w:t>
      </w:r>
      <w:r w:rsidR="004E4673">
        <w:rPr>
          <w:rFonts w:ascii="Verdana" w:eastAsia="Times New Roman" w:hAnsi="Verdana" w:cs="Helvetica"/>
          <w:color w:val="000000"/>
          <w:sz w:val="18"/>
          <w:szCs w:val="18"/>
          <w:lang w:val="en-US"/>
        </w:rPr>
        <w:t xml:space="preserve">selected through </w:t>
      </w:r>
      <w:r w:rsidR="0091760E" w:rsidRPr="00097799">
        <w:rPr>
          <w:rFonts w:ascii="Verdana" w:eastAsia="Times New Roman" w:hAnsi="Verdana" w:cs="Helvetica"/>
          <w:color w:val="000000"/>
          <w:sz w:val="18"/>
          <w:szCs w:val="18"/>
          <w:lang w:val="en-US"/>
        </w:rPr>
        <w:t>the DG meeting on urban matters.</w:t>
      </w:r>
      <w:r w:rsidR="00A226EE">
        <w:rPr>
          <w:rStyle w:val="Voetnootmarkering"/>
          <w:rFonts w:ascii="Verdana" w:eastAsia="Times New Roman" w:hAnsi="Verdana" w:cs="Helvetica"/>
          <w:color w:val="000000"/>
          <w:sz w:val="18"/>
          <w:szCs w:val="18"/>
          <w:lang w:val="en-US"/>
        </w:rPr>
        <w:footnoteReference w:id="4"/>
      </w:r>
    </w:p>
    <w:p w:rsidR="00097799" w:rsidRPr="00097799" w:rsidRDefault="00097799" w:rsidP="00097799">
      <w:pPr>
        <w:pStyle w:val="Lijstalinea"/>
        <w:shd w:val="clear" w:color="auto" w:fill="FFFFFF"/>
        <w:spacing w:line="240" w:lineRule="auto"/>
        <w:ind w:left="1470"/>
        <w:rPr>
          <w:rFonts w:ascii="Verdana" w:hAnsi="Verdana"/>
          <w:sz w:val="18"/>
          <w:szCs w:val="18"/>
          <w:lang w:val="en-US"/>
        </w:rPr>
      </w:pPr>
    </w:p>
    <w:p w:rsidR="00097799" w:rsidRPr="00097799" w:rsidRDefault="00A226EE" w:rsidP="00097799">
      <w:pPr>
        <w:pStyle w:val="Lijstalinea"/>
        <w:numPr>
          <w:ilvl w:val="0"/>
          <w:numId w:val="18"/>
        </w:numPr>
        <w:shd w:val="clear" w:color="auto" w:fill="FFFFFF"/>
        <w:spacing w:line="240" w:lineRule="auto"/>
        <w:rPr>
          <w:rFonts w:ascii="Verdana" w:hAnsi="Verdana"/>
          <w:sz w:val="18"/>
          <w:szCs w:val="18"/>
          <w:lang w:val="en-US"/>
        </w:rPr>
      </w:pPr>
      <w:r w:rsidRPr="00097799">
        <w:rPr>
          <w:rFonts w:ascii="Verdana" w:eastAsia="Times New Roman" w:hAnsi="Verdana" w:cs="Helvetica"/>
          <w:color w:val="000000"/>
          <w:sz w:val="18"/>
          <w:szCs w:val="18"/>
          <w:lang w:val="en-US"/>
        </w:rPr>
        <w:t>Commission representatives</w:t>
      </w:r>
      <w:r w:rsidR="0034201E" w:rsidRPr="00097799">
        <w:rPr>
          <w:rFonts w:ascii="Verdana" w:eastAsia="Times New Roman" w:hAnsi="Verdana" w:cs="Helvetica"/>
          <w:color w:val="000000"/>
          <w:sz w:val="18"/>
          <w:szCs w:val="18"/>
          <w:lang w:val="en-US"/>
        </w:rPr>
        <w:t xml:space="preserve"> of the relevant DGs</w:t>
      </w:r>
      <w:r w:rsidRPr="00097799">
        <w:rPr>
          <w:rFonts w:ascii="Verdana" w:eastAsia="Times New Roman" w:hAnsi="Verdana" w:cs="Helvetica"/>
          <w:color w:val="000000"/>
          <w:sz w:val="18"/>
          <w:szCs w:val="18"/>
          <w:lang w:val="en-US"/>
        </w:rPr>
        <w:t xml:space="preserve"> (number of representatives depends on number of DGs which need to involved on the specific theme). </w:t>
      </w:r>
    </w:p>
    <w:p w:rsidR="00097799" w:rsidRDefault="00097799" w:rsidP="00097799">
      <w:pPr>
        <w:pStyle w:val="Lijstalinea"/>
        <w:shd w:val="clear" w:color="auto" w:fill="FFFFFF"/>
        <w:spacing w:line="240" w:lineRule="auto"/>
        <w:ind w:left="1470"/>
        <w:rPr>
          <w:rFonts w:ascii="Verdana" w:hAnsi="Verdana"/>
          <w:sz w:val="18"/>
          <w:szCs w:val="18"/>
          <w:lang w:val="en-US"/>
        </w:rPr>
      </w:pPr>
    </w:p>
    <w:p w:rsidR="00097799" w:rsidRDefault="00097799" w:rsidP="00097799">
      <w:pPr>
        <w:pStyle w:val="Lijstalinea"/>
        <w:numPr>
          <w:ilvl w:val="0"/>
          <w:numId w:val="18"/>
        </w:numPr>
        <w:shd w:val="clear" w:color="auto" w:fill="FFFFFF"/>
        <w:spacing w:line="240" w:lineRule="auto"/>
        <w:rPr>
          <w:rFonts w:ascii="Verdana" w:hAnsi="Verdana"/>
          <w:sz w:val="18"/>
          <w:szCs w:val="18"/>
          <w:lang w:val="en-US"/>
        </w:rPr>
      </w:pPr>
      <w:r w:rsidRPr="00097799">
        <w:rPr>
          <w:rFonts w:ascii="Verdana" w:hAnsi="Verdana"/>
          <w:sz w:val="18"/>
          <w:szCs w:val="18"/>
          <w:lang w:val="en-US"/>
        </w:rPr>
        <w:t>EUROCITIES</w:t>
      </w:r>
      <w:r w:rsidR="004E4673">
        <w:rPr>
          <w:rFonts w:ascii="Verdana" w:hAnsi="Verdana"/>
          <w:sz w:val="18"/>
          <w:szCs w:val="18"/>
          <w:lang w:val="en-US"/>
        </w:rPr>
        <w:t xml:space="preserve"> and</w:t>
      </w:r>
      <w:r w:rsidR="00BB40FC" w:rsidRPr="00097799">
        <w:rPr>
          <w:rFonts w:ascii="Verdana" w:hAnsi="Verdana"/>
          <w:sz w:val="18"/>
          <w:szCs w:val="18"/>
          <w:lang w:val="en-US"/>
        </w:rPr>
        <w:t xml:space="preserve"> CEMR c</w:t>
      </w:r>
      <w:r w:rsidR="00126793" w:rsidRPr="00097799">
        <w:rPr>
          <w:rFonts w:ascii="Verdana" w:hAnsi="Verdana"/>
          <w:sz w:val="18"/>
          <w:szCs w:val="18"/>
          <w:lang w:val="en-US"/>
        </w:rPr>
        <w:t>an</w:t>
      </w:r>
      <w:r w:rsidR="00BB40FC" w:rsidRPr="00097799">
        <w:rPr>
          <w:rFonts w:ascii="Verdana" w:hAnsi="Verdana"/>
          <w:sz w:val="18"/>
          <w:szCs w:val="18"/>
          <w:lang w:val="en-US"/>
        </w:rPr>
        <w:t xml:space="preserve"> nominate one representative of their </w:t>
      </w:r>
      <w:r w:rsidR="009D2EA6" w:rsidRPr="00097799">
        <w:rPr>
          <w:rFonts w:ascii="Verdana" w:hAnsi="Verdana"/>
          <w:sz w:val="18"/>
          <w:szCs w:val="18"/>
          <w:lang w:val="en-US"/>
        </w:rPr>
        <w:t xml:space="preserve">own </w:t>
      </w:r>
      <w:r w:rsidR="00BB40FC" w:rsidRPr="00097799">
        <w:rPr>
          <w:rFonts w:ascii="Verdana" w:hAnsi="Verdana"/>
          <w:sz w:val="18"/>
          <w:szCs w:val="18"/>
          <w:lang w:val="en-US"/>
        </w:rPr>
        <w:t>organization</w:t>
      </w:r>
      <w:r w:rsidR="006A0FAF">
        <w:rPr>
          <w:rFonts w:ascii="Verdana" w:hAnsi="Verdana"/>
          <w:sz w:val="18"/>
          <w:szCs w:val="18"/>
          <w:lang w:val="en-US"/>
        </w:rPr>
        <w:t>.</w:t>
      </w:r>
    </w:p>
    <w:p w:rsidR="006A0FAF" w:rsidRDefault="006A0FAF" w:rsidP="006A0FAF">
      <w:pPr>
        <w:pStyle w:val="Lijstalinea"/>
        <w:shd w:val="clear" w:color="auto" w:fill="FFFFFF"/>
        <w:spacing w:line="240" w:lineRule="auto"/>
        <w:ind w:left="1470"/>
        <w:rPr>
          <w:rFonts w:ascii="Verdana" w:hAnsi="Verdana"/>
          <w:sz w:val="18"/>
          <w:szCs w:val="18"/>
          <w:lang w:val="en-US"/>
        </w:rPr>
      </w:pPr>
    </w:p>
    <w:p w:rsidR="00A226EE" w:rsidRPr="00097799" w:rsidRDefault="00BB40FC" w:rsidP="00097799">
      <w:pPr>
        <w:pStyle w:val="Lijstalinea"/>
        <w:numPr>
          <w:ilvl w:val="0"/>
          <w:numId w:val="18"/>
        </w:numPr>
        <w:shd w:val="clear" w:color="auto" w:fill="FFFFFF"/>
        <w:spacing w:line="240" w:lineRule="auto"/>
        <w:rPr>
          <w:rFonts w:ascii="Verdana" w:hAnsi="Verdana"/>
          <w:sz w:val="18"/>
          <w:szCs w:val="18"/>
          <w:lang w:val="en-US"/>
        </w:rPr>
      </w:pPr>
      <w:r w:rsidRPr="00097799">
        <w:rPr>
          <w:rFonts w:ascii="Verdana" w:eastAsia="Times New Roman" w:hAnsi="Verdana" w:cs="Helvetica"/>
          <w:color w:val="000000"/>
          <w:sz w:val="18"/>
          <w:szCs w:val="18"/>
          <w:lang w:val="en-US"/>
        </w:rPr>
        <w:t xml:space="preserve">The partners of the Partnership </w:t>
      </w:r>
      <w:r w:rsidR="00126793" w:rsidRPr="00097799">
        <w:rPr>
          <w:rFonts w:ascii="Verdana" w:eastAsia="Times New Roman" w:hAnsi="Verdana" w:cs="Helvetica"/>
          <w:color w:val="000000"/>
          <w:sz w:val="18"/>
          <w:szCs w:val="18"/>
          <w:lang w:val="en-US"/>
        </w:rPr>
        <w:t>may</w:t>
      </w:r>
      <w:r w:rsidRPr="00097799">
        <w:rPr>
          <w:rFonts w:ascii="Verdana" w:eastAsia="Times New Roman" w:hAnsi="Verdana" w:cs="Helvetica"/>
          <w:color w:val="000000"/>
          <w:sz w:val="18"/>
          <w:szCs w:val="18"/>
          <w:lang w:val="en-US"/>
        </w:rPr>
        <w:t xml:space="preserve"> ask o</w:t>
      </w:r>
      <w:r w:rsidR="00A226EE" w:rsidRPr="00097799">
        <w:rPr>
          <w:rFonts w:ascii="Verdana" w:eastAsia="Times New Roman" w:hAnsi="Verdana" w:cs="Helvetica"/>
          <w:color w:val="000000"/>
          <w:sz w:val="18"/>
          <w:szCs w:val="18"/>
          <w:lang w:val="en-US"/>
        </w:rPr>
        <w:t>ther</w:t>
      </w:r>
      <w:r w:rsidRPr="00097799">
        <w:rPr>
          <w:rFonts w:ascii="Verdana" w:eastAsia="Times New Roman" w:hAnsi="Verdana" w:cs="Helvetica"/>
          <w:color w:val="000000"/>
          <w:sz w:val="18"/>
          <w:szCs w:val="18"/>
          <w:lang w:val="en-US"/>
        </w:rPr>
        <w:t>s</w:t>
      </w:r>
      <w:r w:rsidR="00A226EE" w:rsidRPr="00097799">
        <w:rPr>
          <w:rFonts w:ascii="Verdana" w:eastAsia="Times New Roman" w:hAnsi="Verdana" w:cs="Helvetica"/>
          <w:color w:val="000000"/>
          <w:sz w:val="18"/>
          <w:szCs w:val="18"/>
          <w:lang w:val="en-US"/>
        </w:rPr>
        <w:t xml:space="preserve"> </w:t>
      </w:r>
      <w:r w:rsidRPr="00097799">
        <w:rPr>
          <w:rFonts w:ascii="Verdana" w:eastAsia="Times New Roman" w:hAnsi="Verdana" w:cs="Helvetica"/>
          <w:color w:val="000000"/>
          <w:sz w:val="18"/>
          <w:szCs w:val="18"/>
          <w:lang w:val="en-US"/>
        </w:rPr>
        <w:t xml:space="preserve">to join the Partnership </w:t>
      </w:r>
      <w:r w:rsidR="00A226EE" w:rsidRPr="00097799">
        <w:rPr>
          <w:rFonts w:ascii="Verdana" w:eastAsia="Times New Roman" w:hAnsi="Verdana" w:cs="Helvetica"/>
          <w:color w:val="000000"/>
          <w:sz w:val="18"/>
          <w:szCs w:val="18"/>
          <w:lang w:val="en-US"/>
        </w:rPr>
        <w:t xml:space="preserve"> such as: </w:t>
      </w:r>
    </w:p>
    <w:p w:rsidR="00A226EE" w:rsidRPr="006A0FAF" w:rsidRDefault="00A226EE" w:rsidP="006A0FAF">
      <w:pPr>
        <w:pStyle w:val="Lijstalinea"/>
        <w:numPr>
          <w:ilvl w:val="1"/>
          <w:numId w:val="20"/>
        </w:numPr>
        <w:shd w:val="clear" w:color="auto" w:fill="FFFFFF"/>
        <w:spacing w:after="0" w:line="240" w:lineRule="auto"/>
        <w:rPr>
          <w:rFonts w:ascii="Verdana" w:hAnsi="Verdana"/>
          <w:sz w:val="18"/>
          <w:szCs w:val="18"/>
          <w:lang w:val="en-US"/>
        </w:rPr>
      </w:pPr>
      <w:r w:rsidRPr="006A0FAF">
        <w:rPr>
          <w:rFonts w:ascii="Verdana" w:hAnsi="Verdana"/>
          <w:sz w:val="18"/>
          <w:szCs w:val="18"/>
          <w:lang w:val="en-US"/>
        </w:rPr>
        <w:t>Managing Authorities of ESIF and/or EIB;</w:t>
      </w:r>
    </w:p>
    <w:p w:rsidR="00A226EE" w:rsidRPr="006A0FAF" w:rsidRDefault="006A0FAF" w:rsidP="006A0FAF">
      <w:pPr>
        <w:pStyle w:val="Lijstalinea"/>
        <w:numPr>
          <w:ilvl w:val="1"/>
          <w:numId w:val="20"/>
        </w:numPr>
        <w:shd w:val="clear" w:color="auto" w:fill="FFFFFF"/>
        <w:spacing w:after="0" w:line="240" w:lineRule="auto"/>
        <w:rPr>
          <w:rFonts w:ascii="Verdana" w:hAnsi="Verdana"/>
          <w:sz w:val="18"/>
          <w:szCs w:val="18"/>
          <w:lang w:val="fr-FR"/>
        </w:rPr>
      </w:pPr>
      <w:r>
        <w:rPr>
          <w:rFonts w:ascii="Verdana" w:hAnsi="Verdana"/>
          <w:sz w:val="18"/>
          <w:szCs w:val="18"/>
          <w:lang w:val="fr-FR"/>
        </w:rPr>
        <w:t>Experts (</w:t>
      </w:r>
      <w:proofErr w:type="spellStart"/>
      <w:r>
        <w:rPr>
          <w:rFonts w:ascii="Verdana" w:hAnsi="Verdana"/>
          <w:sz w:val="18"/>
          <w:szCs w:val="18"/>
          <w:lang w:val="fr-FR"/>
        </w:rPr>
        <w:t>e.g</w:t>
      </w:r>
      <w:proofErr w:type="spellEnd"/>
      <w:r>
        <w:rPr>
          <w:rFonts w:ascii="Verdana" w:hAnsi="Verdana"/>
          <w:sz w:val="18"/>
          <w:szCs w:val="18"/>
          <w:lang w:val="fr-FR"/>
        </w:rPr>
        <w:t>. URBACT-</w:t>
      </w:r>
      <w:r w:rsidR="00A226EE" w:rsidRPr="006A0FAF">
        <w:rPr>
          <w:rFonts w:ascii="Verdana" w:hAnsi="Verdana"/>
          <w:sz w:val="18"/>
          <w:szCs w:val="18"/>
          <w:lang w:val="fr-FR"/>
        </w:rPr>
        <w:t>ex</w:t>
      </w:r>
      <w:r>
        <w:rPr>
          <w:rFonts w:ascii="Verdana" w:hAnsi="Verdana"/>
          <w:sz w:val="18"/>
          <w:szCs w:val="18"/>
          <w:lang w:val="fr-FR"/>
        </w:rPr>
        <w:t xml:space="preserve">perts, </w:t>
      </w:r>
      <w:proofErr w:type="spellStart"/>
      <w:r>
        <w:rPr>
          <w:rFonts w:ascii="Verdana" w:hAnsi="Verdana"/>
          <w:sz w:val="18"/>
          <w:szCs w:val="18"/>
          <w:lang w:val="fr-FR"/>
        </w:rPr>
        <w:t>Universities</w:t>
      </w:r>
      <w:proofErr w:type="spellEnd"/>
      <w:r w:rsidR="00A226EE" w:rsidRPr="006A0FAF">
        <w:rPr>
          <w:rFonts w:ascii="Verdana" w:hAnsi="Verdana"/>
          <w:sz w:val="18"/>
          <w:szCs w:val="18"/>
          <w:lang w:val="fr-FR"/>
        </w:rPr>
        <w:t xml:space="preserve"> etc.);</w:t>
      </w:r>
    </w:p>
    <w:p w:rsidR="0049546C" w:rsidRPr="006A0FAF" w:rsidRDefault="00A226EE" w:rsidP="006A0FAF">
      <w:pPr>
        <w:pStyle w:val="Lijstalinea"/>
        <w:numPr>
          <w:ilvl w:val="1"/>
          <w:numId w:val="20"/>
        </w:numPr>
        <w:shd w:val="clear" w:color="auto" w:fill="FFFFFF"/>
        <w:spacing w:after="0" w:line="240" w:lineRule="auto"/>
        <w:rPr>
          <w:rFonts w:ascii="Verdana" w:hAnsi="Verdana"/>
          <w:sz w:val="18"/>
          <w:szCs w:val="18"/>
          <w:lang w:val="en-US"/>
        </w:rPr>
      </w:pPr>
      <w:r w:rsidRPr="006A0FAF">
        <w:rPr>
          <w:rFonts w:ascii="Verdana" w:hAnsi="Verdana"/>
          <w:sz w:val="18"/>
          <w:szCs w:val="18"/>
          <w:lang w:val="en-US"/>
        </w:rPr>
        <w:t>NGOs/ economic and social partners (at European level).</w:t>
      </w:r>
    </w:p>
    <w:p w:rsidR="00097799" w:rsidRPr="00097799" w:rsidRDefault="00097799" w:rsidP="00097799">
      <w:pPr>
        <w:shd w:val="clear" w:color="auto" w:fill="FFFFFF"/>
        <w:spacing w:after="0" w:line="240" w:lineRule="auto"/>
        <w:ind w:left="1422"/>
        <w:rPr>
          <w:rFonts w:ascii="Verdana" w:hAnsi="Verdana"/>
          <w:sz w:val="18"/>
          <w:szCs w:val="18"/>
          <w:lang w:val="en-US"/>
        </w:rPr>
      </w:pPr>
    </w:p>
    <w:p w:rsidR="00A226EE" w:rsidRPr="00A226EE" w:rsidRDefault="00A226EE" w:rsidP="00097799">
      <w:pPr>
        <w:shd w:val="clear" w:color="auto" w:fill="FFFFFF"/>
        <w:spacing w:line="240" w:lineRule="auto"/>
        <w:ind w:left="708"/>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Regions, city consortiums or national city umbrella organisations can also be nominated as partner in the partnership by one of the European umbrella </w:t>
      </w:r>
      <w:proofErr w:type="spellStart"/>
      <w:r w:rsidRPr="00A226EE">
        <w:rPr>
          <w:rFonts w:ascii="Verdana" w:eastAsia="Times New Roman" w:hAnsi="Verdana" w:cs="Helvetica"/>
          <w:color w:val="000000"/>
          <w:sz w:val="18"/>
          <w:szCs w:val="18"/>
          <w:lang w:val="en-US"/>
        </w:rPr>
        <w:t>organisations</w:t>
      </w:r>
      <w:proofErr w:type="spellEnd"/>
      <w:r w:rsidRPr="00A226EE">
        <w:rPr>
          <w:rFonts w:ascii="Verdana" w:eastAsia="Times New Roman" w:hAnsi="Verdana" w:cs="Helvetica"/>
          <w:color w:val="000000"/>
          <w:sz w:val="18"/>
          <w:szCs w:val="18"/>
          <w:lang w:val="en-US"/>
        </w:rPr>
        <w:t>. </w:t>
      </w:r>
    </w:p>
    <w:p w:rsidR="00A226EE" w:rsidRPr="00A226EE" w:rsidRDefault="00A226EE" w:rsidP="00097799">
      <w:pPr>
        <w:shd w:val="clear" w:color="auto" w:fill="FFFFFF"/>
        <w:spacing w:line="240" w:lineRule="auto"/>
        <w:ind w:left="708"/>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If a Partnership</w:t>
      </w:r>
      <w:r w:rsidR="004E4673">
        <w:rPr>
          <w:rFonts w:ascii="Verdana" w:eastAsia="Times New Roman" w:hAnsi="Verdana" w:cs="Helvetica"/>
          <w:color w:val="000000"/>
          <w:sz w:val="18"/>
          <w:szCs w:val="18"/>
          <w:lang w:val="en-US"/>
        </w:rPr>
        <w:t xml:space="preserve"> </w:t>
      </w:r>
      <w:r w:rsidRPr="00A226EE">
        <w:rPr>
          <w:rFonts w:ascii="Verdana" w:eastAsia="Times New Roman" w:hAnsi="Verdana" w:cs="Helvetica"/>
          <w:color w:val="000000"/>
          <w:sz w:val="18"/>
          <w:szCs w:val="18"/>
          <w:lang w:val="en-US"/>
        </w:rPr>
        <w:t>is not complete at the start</w:t>
      </w:r>
      <w:r w:rsidR="004F18F6">
        <w:rPr>
          <w:rFonts w:ascii="Verdana" w:eastAsia="Times New Roman" w:hAnsi="Verdana" w:cs="Helvetica"/>
          <w:color w:val="000000"/>
          <w:sz w:val="18"/>
          <w:szCs w:val="18"/>
          <w:lang w:val="en-US"/>
        </w:rPr>
        <w:t>,</w:t>
      </w:r>
      <w:r w:rsidR="004F18F6" w:rsidRPr="004F18F6">
        <w:rPr>
          <w:rFonts w:ascii="Verdana" w:eastAsia="Times New Roman" w:hAnsi="Verdana" w:cs="Helvetica"/>
          <w:color w:val="000000"/>
          <w:sz w:val="18"/>
          <w:szCs w:val="18"/>
          <w:lang w:val="en-US"/>
        </w:rPr>
        <w:t xml:space="preserve"> </w:t>
      </w:r>
      <w:r w:rsidR="004F18F6">
        <w:rPr>
          <w:rFonts w:ascii="Verdana" w:eastAsia="Times New Roman" w:hAnsi="Verdana" w:cs="Helvetica"/>
          <w:color w:val="000000"/>
          <w:sz w:val="18"/>
          <w:szCs w:val="18"/>
          <w:lang w:val="en-US"/>
        </w:rPr>
        <w:t>during</w:t>
      </w:r>
      <w:r w:rsidR="004F18F6" w:rsidRPr="00A226EE">
        <w:rPr>
          <w:rFonts w:ascii="Verdana" w:eastAsia="Times New Roman" w:hAnsi="Verdana" w:cs="Helvetica"/>
          <w:color w:val="000000"/>
          <w:sz w:val="18"/>
          <w:szCs w:val="18"/>
          <w:lang w:val="en-US"/>
        </w:rPr>
        <w:t xml:space="preserve"> the</w:t>
      </w:r>
      <w:r w:rsidR="004F18F6">
        <w:rPr>
          <w:rFonts w:ascii="Verdana" w:eastAsia="Times New Roman" w:hAnsi="Verdana" w:cs="Helvetica"/>
          <w:color w:val="000000"/>
          <w:sz w:val="18"/>
          <w:szCs w:val="18"/>
          <w:lang w:val="en-US"/>
        </w:rPr>
        <w:t>ir</w:t>
      </w:r>
      <w:r w:rsidR="004F18F6" w:rsidRPr="00A226EE">
        <w:rPr>
          <w:rFonts w:ascii="Verdana" w:eastAsia="Times New Roman" w:hAnsi="Verdana" w:cs="Helvetica"/>
          <w:color w:val="000000"/>
          <w:sz w:val="18"/>
          <w:szCs w:val="18"/>
          <w:lang w:val="en-US"/>
        </w:rPr>
        <w:t xml:space="preserve"> first meeting</w:t>
      </w:r>
      <w:r w:rsidRPr="00A226EE">
        <w:rPr>
          <w:rFonts w:ascii="Verdana" w:eastAsia="Times New Roman" w:hAnsi="Verdana" w:cs="Helvetica"/>
          <w:color w:val="000000"/>
          <w:sz w:val="18"/>
          <w:szCs w:val="18"/>
          <w:lang w:val="en-US"/>
        </w:rPr>
        <w:t xml:space="preserve">, partners will decide on how to proceed on finding the </w:t>
      </w:r>
      <w:r w:rsidR="0049546C">
        <w:rPr>
          <w:rFonts w:ascii="Verdana" w:eastAsia="Times New Roman" w:hAnsi="Verdana" w:cs="Helvetica"/>
          <w:color w:val="000000"/>
          <w:sz w:val="18"/>
          <w:szCs w:val="18"/>
          <w:lang w:val="en-US"/>
        </w:rPr>
        <w:t>additional</w:t>
      </w:r>
      <w:r w:rsidRPr="00A226EE">
        <w:rPr>
          <w:rFonts w:ascii="Verdana" w:eastAsia="Times New Roman" w:hAnsi="Verdana" w:cs="Helvetica"/>
          <w:color w:val="000000"/>
          <w:sz w:val="18"/>
          <w:szCs w:val="18"/>
          <w:lang w:val="en-US"/>
        </w:rPr>
        <w:t xml:space="preserve"> partners. </w:t>
      </w:r>
    </w:p>
    <w:p w:rsidR="00097799" w:rsidRDefault="00A226EE" w:rsidP="00097799">
      <w:pPr>
        <w:pStyle w:val="Lijstalinea"/>
        <w:numPr>
          <w:ilvl w:val="0"/>
          <w:numId w:val="17"/>
        </w:numPr>
        <w:shd w:val="clear" w:color="auto" w:fill="FFFFFF"/>
        <w:spacing w:line="240" w:lineRule="auto"/>
        <w:rPr>
          <w:rFonts w:ascii="Verdana" w:eastAsia="Times New Roman" w:hAnsi="Verdana" w:cs="Helvetica"/>
          <w:color w:val="000000"/>
          <w:sz w:val="18"/>
          <w:szCs w:val="18"/>
          <w:lang w:val="en-US"/>
        </w:rPr>
      </w:pPr>
      <w:r w:rsidRPr="00097799">
        <w:rPr>
          <w:rFonts w:ascii="Verdana" w:eastAsia="Times New Roman" w:hAnsi="Verdana" w:cs="Helvetica"/>
          <w:color w:val="000000"/>
          <w:sz w:val="18"/>
          <w:szCs w:val="18"/>
          <w:u w:val="single"/>
          <w:lang w:val="en-US"/>
        </w:rPr>
        <w:t>Duration</w:t>
      </w:r>
      <w:r w:rsidRPr="00097799">
        <w:rPr>
          <w:rFonts w:ascii="Verdana" w:eastAsia="Times New Roman" w:hAnsi="Verdana" w:cs="Helvetica"/>
          <w:color w:val="000000"/>
          <w:sz w:val="18"/>
          <w:szCs w:val="18"/>
          <w:lang w:val="en-US"/>
        </w:rPr>
        <w:t>: The timeframe of each Partnership</w:t>
      </w:r>
      <w:r w:rsidR="00126793" w:rsidRPr="00097799">
        <w:rPr>
          <w:rFonts w:ascii="Verdana" w:eastAsia="Times New Roman" w:hAnsi="Verdana" w:cs="Helvetica"/>
          <w:color w:val="000000"/>
          <w:sz w:val="18"/>
          <w:szCs w:val="18"/>
          <w:lang w:val="en-US"/>
        </w:rPr>
        <w:t xml:space="preserve"> </w:t>
      </w:r>
      <w:r w:rsidR="009D2EA6" w:rsidRPr="00097799">
        <w:rPr>
          <w:rFonts w:ascii="Verdana" w:eastAsia="Times New Roman" w:hAnsi="Verdana" w:cs="Helvetica"/>
          <w:color w:val="000000"/>
          <w:sz w:val="18"/>
          <w:szCs w:val="18"/>
          <w:lang w:val="en-US"/>
        </w:rPr>
        <w:t>to achieve results</w:t>
      </w:r>
      <w:r w:rsidRPr="00097799">
        <w:rPr>
          <w:rFonts w:ascii="Verdana" w:eastAsia="Times New Roman" w:hAnsi="Verdana" w:cs="Helvetica"/>
          <w:color w:val="000000"/>
          <w:sz w:val="18"/>
          <w:szCs w:val="18"/>
          <w:lang w:val="en-US"/>
        </w:rPr>
        <w:t xml:space="preserve"> is about </w:t>
      </w:r>
      <w:r w:rsidR="00A64313">
        <w:rPr>
          <w:rFonts w:ascii="Verdana" w:eastAsia="Times New Roman" w:hAnsi="Verdana" w:cs="Helvetica"/>
          <w:color w:val="000000"/>
          <w:sz w:val="18"/>
          <w:szCs w:val="18"/>
          <w:lang w:val="en-US"/>
        </w:rPr>
        <w:t>three</w:t>
      </w:r>
      <w:r w:rsidRPr="00097799">
        <w:rPr>
          <w:rFonts w:ascii="Verdana" w:eastAsia="Times New Roman" w:hAnsi="Verdana" w:cs="Helvetica"/>
          <w:color w:val="000000"/>
          <w:sz w:val="18"/>
          <w:szCs w:val="18"/>
          <w:lang w:val="en-US"/>
        </w:rPr>
        <w:t xml:space="preserve"> years. After the</w:t>
      </w:r>
      <w:r w:rsidR="00A64313">
        <w:rPr>
          <w:rFonts w:ascii="Verdana" w:eastAsia="Times New Roman" w:hAnsi="Verdana" w:cs="Helvetica"/>
          <w:color w:val="000000"/>
          <w:sz w:val="18"/>
          <w:szCs w:val="18"/>
          <w:lang w:val="en-US"/>
        </w:rPr>
        <w:t>se</w:t>
      </w:r>
      <w:r w:rsidRPr="00097799">
        <w:rPr>
          <w:rFonts w:ascii="Verdana" w:eastAsia="Times New Roman" w:hAnsi="Verdana" w:cs="Helvetica"/>
          <w:color w:val="000000"/>
          <w:sz w:val="18"/>
          <w:szCs w:val="18"/>
          <w:lang w:val="en-US"/>
        </w:rPr>
        <w:t xml:space="preserve"> </w:t>
      </w:r>
      <w:r w:rsidR="00A64313">
        <w:rPr>
          <w:rFonts w:ascii="Verdana" w:eastAsia="Times New Roman" w:hAnsi="Verdana" w:cs="Helvetica"/>
          <w:color w:val="000000"/>
          <w:sz w:val="18"/>
          <w:szCs w:val="18"/>
          <w:lang w:val="en-US"/>
        </w:rPr>
        <w:t>three</w:t>
      </w:r>
      <w:r w:rsidRPr="00097799">
        <w:rPr>
          <w:rFonts w:ascii="Verdana" w:eastAsia="Times New Roman" w:hAnsi="Verdana" w:cs="Helvetica"/>
          <w:color w:val="000000"/>
          <w:sz w:val="18"/>
          <w:szCs w:val="18"/>
          <w:lang w:val="en-US"/>
        </w:rPr>
        <w:t xml:space="preserve"> years, the Partnership will be assessed</w:t>
      </w:r>
      <w:r w:rsidR="009D2EA6" w:rsidRPr="00097799">
        <w:rPr>
          <w:rFonts w:ascii="Verdana" w:eastAsia="Times New Roman" w:hAnsi="Verdana" w:cs="Helvetica"/>
          <w:color w:val="000000"/>
          <w:sz w:val="18"/>
          <w:szCs w:val="18"/>
          <w:lang w:val="en-US"/>
        </w:rPr>
        <w:t xml:space="preserve"> by the DG meeting</w:t>
      </w:r>
      <w:r w:rsidRPr="00097799">
        <w:rPr>
          <w:rFonts w:ascii="Verdana" w:eastAsia="Times New Roman" w:hAnsi="Verdana" w:cs="Helvetica"/>
          <w:color w:val="000000"/>
          <w:sz w:val="18"/>
          <w:szCs w:val="18"/>
          <w:lang w:val="en-US"/>
        </w:rPr>
        <w:t xml:space="preserve">. </w:t>
      </w:r>
      <w:r w:rsidR="005B0E1D" w:rsidRPr="00097799">
        <w:rPr>
          <w:rFonts w:ascii="Verdana" w:eastAsia="Times New Roman" w:hAnsi="Verdana" w:cs="Helvetica"/>
          <w:color w:val="000000"/>
          <w:sz w:val="18"/>
          <w:szCs w:val="18"/>
          <w:lang w:val="en-US"/>
        </w:rPr>
        <w:t>Thematic Partnerships may then be terminated or continued.</w:t>
      </w:r>
    </w:p>
    <w:p w:rsidR="00097799" w:rsidRDefault="00097799" w:rsidP="00097799">
      <w:pPr>
        <w:pStyle w:val="Lijstalinea"/>
        <w:shd w:val="clear" w:color="auto" w:fill="FFFFFF"/>
        <w:spacing w:line="240" w:lineRule="auto"/>
        <w:ind w:left="765"/>
        <w:rPr>
          <w:rFonts w:ascii="Verdana" w:eastAsia="Times New Roman" w:hAnsi="Verdana" w:cs="Helvetica"/>
          <w:color w:val="000000"/>
          <w:sz w:val="18"/>
          <w:szCs w:val="18"/>
          <w:lang w:val="en-US"/>
        </w:rPr>
      </w:pPr>
    </w:p>
    <w:p w:rsidR="00097799" w:rsidRDefault="005B0E1D" w:rsidP="00097799">
      <w:pPr>
        <w:pStyle w:val="Lijstalinea"/>
        <w:numPr>
          <w:ilvl w:val="0"/>
          <w:numId w:val="17"/>
        </w:numPr>
        <w:shd w:val="clear" w:color="auto" w:fill="FFFFFF"/>
        <w:spacing w:line="240" w:lineRule="auto"/>
        <w:rPr>
          <w:rFonts w:ascii="Verdana" w:eastAsia="Times New Roman" w:hAnsi="Verdana" w:cs="Helvetica"/>
          <w:color w:val="000000"/>
          <w:sz w:val="18"/>
          <w:szCs w:val="18"/>
          <w:lang w:val="en-US"/>
        </w:rPr>
      </w:pPr>
      <w:r w:rsidRPr="00097799">
        <w:rPr>
          <w:rFonts w:ascii="Verdana" w:eastAsia="Times New Roman" w:hAnsi="Verdana" w:cs="Helvetica"/>
          <w:color w:val="000000"/>
          <w:sz w:val="18"/>
          <w:szCs w:val="18"/>
          <w:u w:val="single"/>
          <w:lang w:val="en-US"/>
        </w:rPr>
        <w:t>New Partnerships</w:t>
      </w:r>
      <w:r w:rsidR="00097799" w:rsidRPr="00097799">
        <w:rPr>
          <w:rFonts w:ascii="Verdana" w:eastAsia="Times New Roman" w:hAnsi="Verdana" w:cs="Helvetica"/>
          <w:color w:val="000000"/>
          <w:sz w:val="18"/>
          <w:szCs w:val="18"/>
          <w:u w:val="single"/>
          <w:lang w:val="en-US"/>
        </w:rPr>
        <w:t>:</w:t>
      </w:r>
      <w:r w:rsidR="009D2EA6" w:rsidRPr="00097799">
        <w:rPr>
          <w:rFonts w:ascii="Verdana" w:eastAsia="Times New Roman" w:hAnsi="Verdana" w:cs="Helvetica"/>
          <w:color w:val="000000"/>
          <w:sz w:val="18"/>
          <w:szCs w:val="18"/>
          <w:lang w:val="en-US"/>
        </w:rPr>
        <w:br/>
      </w:r>
      <w:r w:rsidR="00A226EE" w:rsidRPr="00097799">
        <w:rPr>
          <w:rFonts w:ascii="Verdana" w:eastAsia="Times New Roman" w:hAnsi="Verdana" w:cs="Helvetica"/>
          <w:color w:val="000000"/>
          <w:sz w:val="18"/>
          <w:szCs w:val="18"/>
          <w:lang w:val="en-US"/>
        </w:rPr>
        <w:t xml:space="preserve">New </w:t>
      </w:r>
      <w:r w:rsidRPr="00097799">
        <w:rPr>
          <w:rFonts w:ascii="Verdana" w:eastAsia="Times New Roman" w:hAnsi="Verdana" w:cs="Helvetica"/>
          <w:color w:val="000000"/>
          <w:sz w:val="18"/>
          <w:szCs w:val="18"/>
          <w:lang w:val="en-US"/>
        </w:rPr>
        <w:t xml:space="preserve">themes may be added to the list which will lead to new </w:t>
      </w:r>
      <w:r w:rsidR="00A226EE" w:rsidRPr="00097799">
        <w:rPr>
          <w:rFonts w:ascii="Verdana" w:eastAsia="Times New Roman" w:hAnsi="Verdana" w:cs="Helvetica"/>
          <w:color w:val="000000"/>
          <w:sz w:val="18"/>
          <w:szCs w:val="18"/>
          <w:lang w:val="en-US"/>
        </w:rPr>
        <w:t>Partnerships in addition to existing ones</w:t>
      </w:r>
      <w:r w:rsidRPr="00097799">
        <w:rPr>
          <w:rFonts w:ascii="Verdana" w:eastAsia="Times New Roman" w:hAnsi="Verdana" w:cs="Helvetica"/>
          <w:color w:val="000000"/>
          <w:sz w:val="18"/>
          <w:szCs w:val="18"/>
          <w:lang w:val="en-US"/>
        </w:rPr>
        <w:t>.</w:t>
      </w:r>
      <w:r w:rsidR="00A226EE" w:rsidRPr="00097799">
        <w:rPr>
          <w:rFonts w:ascii="Verdana" w:eastAsia="Times New Roman" w:hAnsi="Verdana" w:cs="Helvetica"/>
          <w:color w:val="000000"/>
          <w:sz w:val="18"/>
          <w:szCs w:val="18"/>
          <w:lang w:val="en-US"/>
        </w:rPr>
        <w:t xml:space="preserve"> </w:t>
      </w:r>
    </w:p>
    <w:p w:rsidR="00097799" w:rsidRDefault="00097799" w:rsidP="00097799">
      <w:pPr>
        <w:pStyle w:val="Lijstalinea"/>
        <w:shd w:val="clear" w:color="auto" w:fill="FFFFFF"/>
        <w:spacing w:line="240" w:lineRule="auto"/>
        <w:ind w:left="765"/>
        <w:rPr>
          <w:rFonts w:ascii="Verdana" w:eastAsia="Times New Roman" w:hAnsi="Verdana" w:cs="Helvetica"/>
          <w:color w:val="000000"/>
          <w:sz w:val="18"/>
          <w:szCs w:val="18"/>
          <w:lang w:val="en-US"/>
        </w:rPr>
      </w:pPr>
    </w:p>
    <w:p w:rsidR="00A226EE" w:rsidRPr="00097799" w:rsidRDefault="00A226EE" w:rsidP="00097799">
      <w:pPr>
        <w:pStyle w:val="Lijstalinea"/>
        <w:numPr>
          <w:ilvl w:val="0"/>
          <w:numId w:val="17"/>
        </w:numPr>
        <w:shd w:val="clear" w:color="auto" w:fill="FFFFFF"/>
        <w:spacing w:line="240" w:lineRule="auto"/>
        <w:rPr>
          <w:rFonts w:ascii="Verdana" w:eastAsia="Times New Roman" w:hAnsi="Verdana" w:cs="Helvetica"/>
          <w:color w:val="000000"/>
          <w:sz w:val="18"/>
          <w:szCs w:val="18"/>
          <w:lang w:val="en-US"/>
        </w:rPr>
      </w:pPr>
      <w:r w:rsidRPr="00097799">
        <w:rPr>
          <w:rFonts w:ascii="Verdana" w:eastAsia="Times New Roman" w:hAnsi="Verdana" w:cs="Helvetica"/>
          <w:color w:val="000000"/>
          <w:sz w:val="18"/>
          <w:szCs w:val="18"/>
          <w:u w:val="single"/>
          <w:lang w:val="en-US"/>
        </w:rPr>
        <w:t>Coordinators</w:t>
      </w:r>
      <w:r w:rsidRPr="00097799">
        <w:rPr>
          <w:rFonts w:ascii="Verdana" w:eastAsia="Times New Roman" w:hAnsi="Verdana" w:cs="Helvetica"/>
          <w:color w:val="000000"/>
          <w:sz w:val="18"/>
          <w:szCs w:val="18"/>
          <w:lang w:val="en-US"/>
        </w:rPr>
        <w:t xml:space="preserve">: </w:t>
      </w:r>
      <w:r w:rsidR="005B0E1D" w:rsidRPr="00097799">
        <w:rPr>
          <w:rFonts w:ascii="Verdana" w:eastAsia="Times New Roman" w:hAnsi="Verdana" w:cs="Helvetica"/>
          <w:color w:val="000000"/>
          <w:sz w:val="18"/>
          <w:szCs w:val="18"/>
          <w:lang w:val="en-US"/>
        </w:rPr>
        <w:br/>
        <w:t xml:space="preserve">A Partnership will choose one or two of its members as coordinator. The coordinator will chair the meetings of the Partnership. </w:t>
      </w:r>
      <w:r w:rsidRPr="00097799">
        <w:rPr>
          <w:rFonts w:ascii="Verdana" w:eastAsia="Times New Roman" w:hAnsi="Verdana" w:cs="Helvetica"/>
          <w:color w:val="000000"/>
          <w:sz w:val="18"/>
          <w:szCs w:val="18"/>
          <w:lang w:val="en-US"/>
        </w:rPr>
        <w:t>Coordinators are</w:t>
      </w:r>
      <w:r w:rsidR="005B0E1D" w:rsidRPr="00097799">
        <w:rPr>
          <w:rFonts w:ascii="Verdana" w:eastAsia="Times New Roman" w:hAnsi="Verdana" w:cs="Helvetica"/>
          <w:color w:val="000000"/>
          <w:sz w:val="18"/>
          <w:szCs w:val="18"/>
          <w:lang w:val="en-US"/>
        </w:rPr>
        <w:t xml:space="preserve"> the</w:t>
      </w:r>
      <w:r w:rsidRPr="00097799">
        <w:rPr>
          <w:rFonts w:ascii="Verdana" w:eastAsia="Times New Roman" w:hAnsi="Verdana" w:cs="Helvetica"/>
          <w:color w:val="000000"/>
          <w:sz w:val="18"/>
          <w:szCs w:val="18"/>
          <w:lang w:val="en-US"/>
        </w:rPr>
        <w:t xml:space="preserve"> key actors</w:t>
      </w:r>
      <w:r w:rsidR="005B0E1D" w:rsidRPr="00097799">
        <w:rPr>
          <w:rFonts w:ascii="Verdana" w:eastAsia="Times New Roman" w:hAnsi="Verdana" w:cs="Helvetica"/>
          <w:color w:val="000000"/>
          <w:sz w:val="18"/>
          <w:szCs w:val="18"/>
          <w:lang w:val="en-US"/>
        </w:rPr>
        <w:t xml:space="preserve"> to</w:t>
      </w:r>
      <w:r w:rsidRPr="00097799">
        <w:rPr>
          <w:rFonts w:ascii="Verdana" w:eastAsia="Times New Roman" w:hAnsi="Verdana" w:cs="Helvetica"/>
          <w:color w:val="000000"/>
          <w:sz w:val="18"/>
          <w:szCs w:val="18"/>
          <w:lang w:val="en-US"/>
        </w:rPr>
        <w:t xml:space="preserve"> mak</w:t>
      </w:r>
      <w:r w:rsidR="005B0E1D" w:rsidRPr="00097799">
        <w:rPr>
          <w:rFonts w:ascii="Verdana" w:eastAsia="Times New Roman" w:hAnsi="Verdana" w:cs="Helvetica"/>
          <w:color w:val="000000"/>
          <w:sz w:val="18"/>
          <w:szCs w:val="18"/>
          <w:lang w:val="en-US"/>
        </w:rPr>
        <w:t>e</w:t>
      </w:r>
      <w:r w:rsidRPr="00097799">
        <w:rPr>
          <w:rFonts w:ascii="Verdana" w:eastAsia="Times New Roman" w:hAnsi="Verdana" w:cs="Helvetica"/>
          <w:color w:val="000000"/>
          <w:sz w:val="18"/>
          <w:szCs w:val="18"/>
          <w:lang w:val="en-US"/>
        </w:rPr>
        <w:t xml:space="preserve"> the EU Urban Agenda operational</w:t>
      </w:r>
      <w:r w:rsidR="005B0E1D" w:rsidRPr="00097799">
        <w:rPr>
          <w:rFonts w:ascii="Verdana" w:eastAsia="Times New Roman" w:hAnsi="Verdana" w:cs="Helvetica"/>
          <w:color w:val="000000"/>
          <w:sz w:val="18"/>
          <w:szCs w:val="18"/>
          <w:lang w:val="en-US"/>
        </w:rPr>
        <w:t>. They</w:t>
      </w:r>
      <w:r w:rsidRPr="00097799">
        <w:rPr>
          <w:rFonts w:ascii="Verdana" w:eastAsia="Times New Roman" w:hAnsi="Verdana" w:cs="Helvetica"/>
          <w:color w:val="000000"/>
          <w:sz w:val="18"/>
          <w:szCs w:val="18"/>
          <w:lang w:val="en-US"/>
        </w:rPr>
        <w:t xml:space="preserve"> are the </w:t>
      </w:r>
      <w:r w:rsidR="004F18F6">
        <w:rPr>
          <w:rFonts w:ascii="Verdana" w:eastAsia="Times New Roman" w:hAnsi="Verdana" w:cs="Helvetica"/>
          <w:color w:val="000000"/>
          <w:sz w:val="18"/>
          <w:szCs w:val="18"/>
          <w:lang w:val="en-US"/>
        </w:rPr>
        <w:t>main point of</w:t>
      </w:r>
      <w:r w:rsidR="004F18F6" w:rsidRPr="00097799">
        <w:rPr>
          <w:rFonts w:ascii="Verdana" w:eastAsia="Times New Roman" w:hAnsi="Verdana" w:cs="Helvetica"/>
          <w:color w:val="000000"/>
          <w:sz w:val="18"/>
          <w:szCs w:val="18"/>
          <w:lang w:val="en-US"/>
        </w:rPr>
        <w:t xml:space="preserve"> </w:t>
      </w:r>
      <w:r w:rsidRPr="00097799">
        <w:rPr>
          <w:rFonts w:ascii="Verdana" w:eastAsia="Times New Roman" w:hAnsi="Verdana" w:cs="Helvetica"/>
          <w:color w:val="000000"/>
          <w:sz w:val="18"/>
          <w:szCs w:val="18"/>
          <w:lang w:val="en-US"/>
        </w:rPr>
        <w:t xml:space="preserve">contact for </w:t>
      </w:r>
      <w:r w:rsidR="009109BA">
        <w:rPr>
          <w:rFonts w:ascii="Verdana" w:eastAsia="Times New Roman" w:hAnsi="Verdana" w:cs="Helvetica"/>
          <w:color w:val="000000"/>
          <w:sz w:val="18"/>
          <w:szCs w:val="18"/>
          <w:lang w:val="en-US"/>
        </w:rPr>
        <w:t>Urban A</w:t>
      </w:r>
      <w:r w:rsidR="005B0E1D" w:rsidRPr="00097799">
        <w:rPr>
          <w:rFonts w:ascii="Verdana" w:eastAsia="Times New Roman" w:hAnsi="Verdana" w:cs="Helvetica"/>
          <w:color w:val="000000"/>
          <w:sz w:val="18"/>
          <w:szCs w:val="18"/>
          <w:lang w:val="en-US"/>
        </w:rPr>
        <w:t>reas, the</w:t>
      </w:r>
      <w:r w:rsidRPr="00097799">
        <w:rPr>
          <w:rFonts w:ascii="Verdana" w:eastAsia="Times New Roman" w:hAnsi="Verdana" w:cs="Helvetica"/>
          <w:color w:val="000000"/>
          <w:sz w:val="18"/>
          <w:szCs w:val="18"/>
          <w:lang w:val="en-US"/>
        </w:rPr>
        <w:t xml:space="preserve"> Commission and Member States. </w:t>
      </w:r>
      <w:r w:rsidR="005B0E1D" w:rsidRPr="00097799">
        <w:rPr>
          <w:rFonts w:ascii="Verdana" w:eastAsia="Times New Roman" w:hAnsi="Verdana" w:cs="Helvetica"/>
          <w:color w:val="000000"/>
          <w:sz w:val="18"/>
          <w:szCs w:val="18"/>
          <w:lang w:val="en-US"/>
        </w:rPr>
        <w:t xml:space="preserve">Partnerships </w:t>
      </w:r>
      <w:r w:rsidR="004E4673">
        <w:rPr>
          <w:rFonts w:ascii="Verdana" w:eastAsia="Times New Roman" w:hAnsi="Verdana" w:cs="Helvetica"/>
          <w:color w:val="000000"/>
          <w:sz w:val="18"/>
          <w:szCs w:val="18"/>
          <w:lang w:val="en-US"/>
        </w:rPr>
        <w:t>may ask the Commission to facilitate the process and to provide assistance for Secretariat</w:t>
      </w:r>
      <w:r w:rsidR="004F18F6">
        <w:rPr>
          <w:rFonts w:ascii="Verdana" w:eastAsia="Times New Roman" w:hAnsi="Verdana" w:cs="Helvetica"/>
          <w:color w:val="000000"/>
          <w:sz w:val="18"/>
          <w:szCs w:val="18"/>
          <w:lang w:val="en-US"/>
        </w:rPr>
        <w:t xml:space="preserve"> duties</w:t>
      </w:r>
      <w:r w:rsidR="004E4673">
        <w:rPr>
          <w:rFonts w:ascii="Verdana" w:eastAsia="Times New Roman" w:hAnsi="Verdana" w:cs="Helvetica"/>
          <w:color w:val="000000"/>
          <w:sz w:val="18"/>
          <w:szCs w:val="18"/>
          <w:lang w:val="en-US"/>
        </w:rPr>
        <w:t xml:space="preserve"> and for expertise at EU level.</w:t>
      </w:r>
      <w:r w:rsidR="005B0E1D" w:rsidRPr="00097799">
        <w:rPr>
          <w:rFonts w:ascii="Verdana" w:eastAsia="Times New Roman" w:hAnsi="Verdana" w:cs="Helvetica"/>
          <w:color w:val="000000"/>
          <w:sz w:val="18"/>
          <w:szCs w:val="18"/>
          <w:lang w:val="en-US"/>
        </w:rPr>
        <w:br/>
      </w:r>
      <w:r w:rsidRPr="00097799">
        <w:rPr>
          <w:rFonts w:ascii="Verdana" w:eastAsia="Times New Roman" w:hAnsi="Verdana" w:cs="Helvetica"/>
          <w:color w:val="000000"/>
          <w:sz w:val="18"/>
          <w:szCs w:val="18"/>
          <w:lang w:val="en-US"/>
        </w:rPr>
        <w:t xml:space="preserve">The </w:t>
      </w:r>
      <w:r w:rsidR="008C2518">
        <w:rPr>
          <w:rFonts w:ascii="Verdana" w:eastAsia="Times New Roman" w:hAnsi="Verdana" w:cs="Helvetica"/>
          <w:color w:val="000000"/>
          <w:sz w:val="18"/>
          <w:szCs w:val="18"/>
          <w:lang w:val="en-US"/>
        </w:rPr>
        <w:t xml:space="preserve">coordinators </w:t>
      </w:r>
      <w:r w:rsidRPr="00097799">
        <w:rPr>
          <w:rFonts w:ascii="Verdana" w:eastAsia="Times New Roman" w:hAnsi="Verdana" w:cs="Helvetica"/>
          <w:color w:val="000000"/>
          <w:sz w:val="18"/>
          <w:szCs w:val="18"/>
          <w:lang w:val="en-US"/>
        </w:rPr>
        <w:t>are expected to cover the cost of their work.</w:t>
      </w:r>
    </w:p>
    <w:p w:rsidR="00A226EE" w:rsidRPr="00A226EE" w:rsidRDefault="00A226EE" w:rsidP="00097799">
      <w:pPr>
        <w:shd w:val="clear" w:color="auto" w:fill="FFFFFF"/>
        <w:spacing w:line="240" w:lineRule="auto"/>
        <w:ind w:firstLine="708"/>
        <w:jc w:val="both"/>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Responsibilities of the Coordinators: </w:t>
      </w: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proofErr w:type="spellStart"/>
      <w:r w:rsidRPr="00C37158">
        <w:rPr>
          <w:rFonts w:ascii="Verdana" w:eastAsia="Times New Roman" w:hAnsi="Verdana" w:cs="Helvetica"/>
          <w:color w:val="000000"/>
          <w:sz w:val="18"/>
          <w:szCs w:val="18"/>
          <w:lang w:val="en-US"/>
        </w:rPr>
        <w:t>Organisation</w:t>
      </w:r>
      <w:proofErr w:type="spellEnd"/>
      <w:r w:rsidRPr="00C37158">
        <w:rPr>
          <w:rFonts w:ascii="Verdana" w:eastAsia="Times New Roman" w:hAnsi="Verdana" w:cs="Helvetica"/>
          <w:color w:val="000000"/>
          <w:sz w:val="18"/>
          <w:szCs w:val="18"/>
          <w:lang w:val="en-US"/>
        </w:rPr>
        <w:t xml:space="preserve"> of the Partnership meetings: preparing the agenda, sending the invitations, providing the meeting rooms (in their Ministry, City Hall, etc.), inviting speakers where appropriate, drafting the minutes, etc.;</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Chairing the Partnership meetings;</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Organisation of the work between Partnership meetings (e.g. written consultation, asking for contributions, preparing documents, etc.);</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 xml:space="preserve">Being the link between the Partnership and a wider range of interested parties such as </w:t>
      </w:r>
      <w:r w:rsidR="009109BA">
        <w:rPr>
          <w:rFonts w:ascii="Verdana" w:eastAsia="Times New Roman" w:hAnsi="Verdana" w:cs="Helvetica"/>
          <w:color w:val="000000"/>
          <w:sz w:val="18"/>
          <w:szCs w:val="18"/>
          <w:lang w:val="en-US"/>
        </w:rPr>
        <w:t>Urban A</w:t>
      </w:r>
      <w:r w:rsidR="004D0A18">
        <w:rPr>
          <w:rFonts w:ascii="Verdana" w:eastAsia="Times New Roman" w:hAnsi="Verdana" w:cs="Helvetica"/>
          <w:color w:val="000000"/>
          <w:sz w:val="18"/>
          <w:szCs w:val="18"/>
          <w:lang w:val="en-US"/>
        </w:rPr>
        <w:t xml:space="preserve">reas, </w:t>
      </w:r>
      <w:r w:rsidRPr="00C37158">
        <w:rPr>
          <w:rFonts w:ascii="Verdana" w:eastAsia="Times New Roman" w:hAnsi="Verdana" w:cs="Helvetica"/>
          <w:color w:val="000000"/>
          <w:sz w:val="18"/>
          <w:szCs w:val="18"/>
          <w:lang w:val="en-US"/>
        </w:rPr>
        <w:t xml:space="preserve"> Member States and other stakeholders (in particular inform on the progress and offer the possibility to contribute e.g. through consultations, e-mails, updates, a conferences, etc.);</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Being the link between the Partnership and the</w:t>
      </w:r>
      <w:r w:rsidR="009109BA">
        <w:rPr>
          <w:rFonts w:ascii="Verdana" w:eastAsia="Times New Roman" w:hAnsi="Verdana" w:cs="Helvetica"/>
          <w:color w:val="000000"/>
          <w:sz w:val="18"/>
          <w:szCs w:val="18"/>
          <w:lang w:val="en-US"/>
        </w:rPr>
        <w:t xml:space="preserve"> Urban A</w:t>
      </w:r>
      <w:r w:rsidR="004D0A18">
        <w:rPr>
          <w:rFonts w:ascii="Verdana" w:eastAsia="Times New Roman" w:hAnsi="Verdana" w:cs="Helvetica"/>
          <w:color w:val="000000"/>
          <w:sz w:val="18"/>
          <w:szCs w:val="18"/>
          <w:lang w:val="en-US"/>
        </w:rPr>
        <w:t>reas, the</w:t>
      </w:r>
      <w:r w:rsidRPr="00C37158">
        <w:rPr>
          <w:rFonts w:ascii="Verdana" w:eastAsia="Times New Roman" w:hAnsi="Verdana" w:cs="Helvetica"/>
          <w:color w:val="000000"/>
          <w:sz w:val="18"/>
          <w:szCs w:val="18"/>
          <w:lang w:val="en-US"/>
        </w:rPr>
        <w:t xml:space="preserve"> Commission and Member States (including drafting an annual report);</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Coordinating with the other Partnerships;</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Participating and contributing to other working groups/ networks;</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Drafting the Action Plan;</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Monitoring  and reporting on progress;</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Coordinating the work (e.g. ensuring that the contributions are prepared on time and at a good quality, mediating if there are different positions with the view to arrive at an acceptable position, etc.)</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C37158" w:rsidRDefault="00A226EE"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US"/>
        </w:rPr>
        <w:t xml:space="preserve"> Communicating on </w:t>
      </w:r>
      <w:r w:rsidR="004A4E79" w:rsidRPr="00C37158">
        <w:rPr>
          <w:rFonts w:ascii="Verdana" w:eastAsia="Times New Roman" w:hAnsi="Verdana" w:cs="Helvetica"/>
          <w:color w:val="000000"/>
          <w:sz w:val="18"/>
          <w:szCs w:val="18"/>
          <w:lang w:val="en-US"/>
        </w:rPr>
        <w:t xml:space="preserve">actions and </w:t>
      </w:r>
      <w:r w:rsidRPr="00C37158">
        <w:rPr>
          <w:rFonts w:ascii="Verdana" w:eastAsia="Times New Roman" w:hAnsi="Verdana" w:cs="Helvetica"/>
          <w:color w:val="000000"/>
          <w:sz w:val="18"/>
          <w:szCs w:val="18"/>
          <w:lang w:val="en-US"/>
        </w:rPr>
        <w:t>results (visibility).</w:t>
      </w:r>
    </w:p>
    <w:p w:rsidR="00C37158" w:rsidRDefault="00C37158" w:rsidP="00097799">
      <w:pPr>
        <w:pStyle w:val="Lijstalinea"/>
        <w:shd w:val="clear" w:color="auto" w:fill="FFFFFF"/>
        <w:spacing w:line="240" w:lineRule="auto"/>
        <w:ind w:left="1068"/>
        <w:rPr>
          <w:rFonts w:ascii="Verdana" w:eastAsia="Times New Roman" w:hAnsi="Verdana" w:cs="Helvetica"/>
          <w:color w:val="000000"/>
          <w:sz w:val="18"/>
          <w:szCs w:val="18"/>
          <w:lang w:val="en-US"/>
        </w:rPr>
      </w:pPr>
    </w:p>
    <w:p w:rsidR="006A0FAF" w:rsidRPr="006A0FAF" w:rsidRDefault="004A4E79" w:rsidP="00097799">
      <w:pPr>
        <w:pStyle w:val="Lijstalinea"/>
        <w:numPr>
          <w:ilvl w:val="0"/>
          <w:numId w:val="6"/>
        </w:numPr>
        <w:shd w:val="clear" w:color="auto" w:fill="FFFFFF"/>
        <w:spacing w:line="240" w:lineRule="auto"/>
        <w:ind w:left="1068"/>
        <w:rPr>
          <w:rFonts w:ascii="Verdana" w:eastAsia="Times New Roman" w:hAnsi="Verdana" w:cs="Helvetica"/>
          <w:color w:val="000000"/>
          <w:sz w:val="18"/>
          <w:szCs w:val="18"/>
          <w:lang w:val="en-US"/>
        </w:rPr>
      </w:pPr>
      <w:r w:rsidRPr="00C37158">
        <w:rPr>
          <w:rFonts w:ascii="Verdana" w:eastAsia="Times New Roman" w:hAnsi="Verdana" w:cs="Helvetica"/>
          <w:color w:val="000000"/>
          <w:sz w:val="18"/>
          <w:szCs w:val="18"/>
          <w:lang w:val="en-GB"/>
        </w:rPr>
        <w:t xml:space="preserve">Responsible for transmitting results from the Partnership to the Regulatory Fitness and Performance (Refit) Programme and Platform, urban impact assessments, council proceedings and informal council meetings and/or other relevant platforms. </w:t>
      </w:r>
    </w:p>
    <w:p w:rsidR="004E4673" w:rsidRPr="004E4673" w:rsidRDefault="004E4673" w:rsidP="004E4673">
      <w:pPr>
        <w:shd w:val="clear" w:color="auto" w:fill="FFFFFF"/>
        <w:ind w:left="426"/>
        <w:rPr>
          <w:rFonts w:ascii="Verdana" w:eastAsia="Times New Roman" w:hAnsi="Verdana" w:cs="Helvetica"/>
          <w:color w:val="000000"/>
          <w:sz w:val="18"/>
          <w:szCs w:val="18"/>
          <w:lang w:val="en-GB"/>
        </w:rPr>
      </w:pPr>
      <w:r>
        <w:rPr>
          <w:rFonts w:ascii="Verdana" w:eastAsia="Times New Roman" w:hAnsi="Verdana" w:cs="Helvetica"/>
          <w:color w:val="000000"/>
          <w:sz w:val="18"/>
          <w:szCs w:val="18"/>
          <w:lang w:val="en-GB"/>
        </w:rPr>
        <w:t xml:space="preserve">5. </w:t>
      </w:r>
      <w:r>
        <w:rPr>
          <w:rFonts w:ascii="Verdana" w:eastAsia="Times New Roman" w:hAnsi="Verdana" w:cs="Helvetica"/>
          <w:color w:val="000000"/>
          <w:sz w:val="18"/>
          <w:szCs w:val="18"/>
          <w:lang w:val="en-GB"/>
        </w:rPr>
        <w:tab/>
      </w:r>
      <w:r w:rsidRPr="004E4673">
        <w:rPr>
          <w:rFonts w:ascii="Verdana" w:eastAsia="Times New Roman" w:hAnsi="Verdana" w:cs="Helvetica"/>
          <w:color w:val="000000"/>
          <w:sz w:val="18"/>
          <w:szCs w:val="18"/>
          <w:u w:val="single"/>
          <w:lang w:val="en-GB"/>
        </w:rPr>
        <w:t>The Role of Partners</w:t>
      </w:r>
      <w:r>
        <w:rPr>
          <w:rFonts w:ascii="Verdana" w:eastAsia="Times New Roman" w:hAnsi="Verdana" w:cs="Helvetica"/>
          <w:color w:val="000000"/>
          <w:sz w:val="18"/>
          <w:szCs w:val="18"/>
          <w:u w:val="single"/>
          <w:lang w:val="en-GB"/>
        </w:rPr>
        <w:t>:</w:t>
      </w:r>
    </w:p>
    <w:p w:rsidR="004E4673" w:rsidRPr="00AA7D71" w:rsidRDefault="006E5526" w:rsidP="004E4673">
      <w:pPr>
        <w:shd w:val="clear" w:color="auto" w:fill="FFFFFF"/>
        <w:rPr>
          <w:rFonts w:ascii="Verdana" w:eastAsia="Times New Roman" w:hAnsi="Verdana" w:cs="Helvetica"/>
          <w:color w:val="000000"/>
          <w:sz w:val="18"/>
          <w:szCs w:val="18"/>
          <w:lang w:val="en-US"/>
        </w:rPr>
      </w:pPr>
      <w:r>
        <w:rPr>
          <w:rFonts w:ascii="Verdana" w:eastAsia="Times New Roman" w:hAnsi="Verdana" w:cs="Helvetica"/>
          <w:color w:val="000000"/>
          <w:sz w:val="18"/>
          <w:szCs w:val="18"/>
          <w:lang w:val="en-US"/>
        </w:rPr>
        <w:t>The partners in a</w:t>
      </w:r>
      <w:r w:rsidR="004E4673" w:rsidRPr="00AA7D71">
        <w:rPr>
          <w:rFonts w:ascii="Verdana" w:eastAsia="Times New Roman" w:hAnsi="Verdana" w:cs="Helvetica"/>
          <w:color w:val="000000"/>
          <w:sz w:val="18"/>
          <w:szCs w:val="18"/>
          <w:lang w:val="en-US"/>
        </w:rPr>
        <w:t xml:space="preserve"> </w:t>
      </w:r>
      <w:r w:rsidR="004F18F6">
        <w:rPr>
          <w:rFonts w:ascii="Verdana" w:eastAsia="Times New Roman" w:hAnsi="Verdana" w:cs="Helvetica"/>
          <w:color w:val="000000"/>
          <w:sz w:val="18"/>
          <w:szCs w:val="18"/>
          <w:lang w:val="en-US"/>
        </w:rPr>
        <w:t xml:space="preserve">Partnership </w:t>
      </w:r>
      <w:r w:rsidR="004E4673">
        <w:rPr>
          <w:rFonts w:ascii="Verdana" w:eastAsia="Times New Roman" w:hAnsi="Verdana" w:cs="Helvetica"/>
          <w:color w:val="000000"/>
          <w:sz w:val="18"/>
          <w:szCs w:val="18"/>
          <w:lang w:val="en-US"/>
        </w:rPr>
        <w:t xml:space="preserve">have specific roles and responsibilities: </w:t>
      </w:r>
    </w:p>
    <w:p w:rsidR="004E4673" w:rsidRDefault="006E5526" w:rsidP="004E4673">
      <w:pPr>
        <w:pStyle w:val="Lijstalinea"/>
        <w:numPr>
          <w:ilvl w:val="0"/>
          <w:numId w:val="21"/>
        </w:numPr>
        <w:shd w:val="clear" w:color="auto" w:fill="FFFFFF"/>
        <w:rPr>
          <w:rFonts w:ascii="Verdana" w:eastAsia="Times New Roman" w:hAnsi="Verdana" w:cs="Helvetica"/>
          <w:color w:val="000000"/>
          <w:sz w:val="18"/>
          <w:szCs w:val="18"/>
          <w:lang w:val="en-US"/>
        </w:rPr>
      </w:pPr>
      <w:r>
        <w:rPr>
          <w:rFonts w:ascii="Verdana" w:eastAsia="Times New Roman" w:hAnsi="Verdana" w:cs="Helvetica"/>
          <w:color w:val="000000"/>
          <w:sz w:val="18"/>
          <w:szCs w:val="18"/>
          <w:lang w:val="en-US"/>
        </w:rPr>
        <w:lastRenderedPageBreak/>
        <w:t>Participate in</w:t>
      </w:r>
      <w:r w:rsidR="004E4673" w:rsidRPr="00553A72">
        <w:rPr>
          <w:rFonts w:ascii="Verdana" w:eastAsia="Times New Roman" w:hAnsi="Verdana" w:cs="Helvetica"/>
          <w:color w:val="000000"/>
          <w:sz w:val="18"/>
          <w:szCs w:val="18"/>
          <w:lang w:val="en-US"/>
        </w:rPr>
        <w:t xml:space="preserve"> the technical work of </w:t>
      </w:r>
      <w:r w:rsidR="004F18F6">
        <w:rPr>
          <w:rFonts w:ascii="Verdana" w:eastAsia="Times New Roman" w:hAnsi="Verdana" w:cs="Helvetica"/>
          <w:color w:val="000000"/>
          <w:sz w:val="18"/>
          <w:szCs w:val="18"/>
          <w:lang w:val="en-US"/>
        </w:rPr>
        <w:t>the P</w:t>
      </w:r>
      <w:r w:rsidR="004E4673" w:rsidRPr="00553A72">
        <w:rPr>
          <w:rFonts w:ascii="Verdana" w:eastAsia="Times New Roman" w:hAnsi="Verdana" w:cs="Helvetica"/>
          <w:color w:val="000000"/>
          <w:sz w:val="18"/>
          <w:szCs w:val="18"/>
          <w:lang w:val="en-US"/>
        </w:rPr>
        <w:t>artnership with own resources;</w:t>
      </w:r>
    </w:p>
    <w:p w:rsidR="004E4673" w:rsidRPr="00553A72" w:rsidRDefault="004E4673" w:rsidP="004E4673">
      <w:pPr>
        <w:pStyle w:val="Lijstalinea"/>
        <w:shd w:val="clear" w:color="auto" w:fill="FFFFFF"/>
        <w:rPr>
          <w:rFonts w:ascii="Verdana" w:eastAsia="Times New Roman" w:hAnsi="Verdana" w:cs="Helvetica"/>
          <w:color w:val="000000"/>
          <w:sz w:val="18"/>
          <w:szCs w:val="18"/>
          <w:lang w:val="en-US"/>
        </w:rPr>
      </w:pPr>
    </w:p>
    <w:p w:rsidR="004E4673" w:rsidRDefault="004E4673" w:rsidP="004E4673">
      <w:pPr>
        <w:pStyle w:val="Lijstalinea"/>
        <w:numPr>
          <w:ilvl w:val="0"/>
          <w:numId w:val="21"/>
        </w:numPr>
        <w:shd w:val="clear" w:color="auto" w:fill="FFFFFF"/>
        <w:rPr>
          <w:rFonts w:ascii="Verdana" w:eastAsia="Times New Roman" w:hAnsi="Verdana" w:cs="Helvetica"/>
          <w:color w:val="000000"/>
          <w:sz w:val="18"/>
          <w:szCs w:val="18"/>
          <w:lang w:val="en-US"/>
        </w:rPr>
      </w:pPr>
      <w:r w:rsidRPr="00553A72">
        <w:rPr>
          <w:rFonts w:ascii="Verdana" w:eastAsia="Times New Roman" w:hAnsi="Verdana" w:cs="Helvetica"/>
          <w:color w:val="000000"/>
          <w:sz w:val="18"/>
          <w:szCs w:val="18"/>
          <w:lang w:val="en-US"/>
        </w:rPr>
        <w:t xml:space="preserve">Contribute to the </w:t>
      </w:r>
      <w:r w:rsidR="004F18F6">
        <w:rPr>
          <w:rFonts w:ascii="Verdana" w:eastAsia="Times New Roman" w:hAnsi="Verdana" w:cs="Helvetica"/>
          <w:color w:val="000000"/>
          <w:sz w:val="18"/>
          <w:szCs w:val="18"/>
          <w:lang w:val="en-US"/>
        </w:rPr>
        <w:t>P</w:t>
      </w:r>
      <w:r w:rsidR="004F18F6" w:rsidRPr="00553A72">
        <w:rPr>
          <w:rFonts w:ascii="Verdana" w:eastAsia="Times New Roman" w:hAnsi="Verdana" w:cs="Helvetica"/>
          <w:color w:val="000000"/>
          <w:sz w:val="18"/>
          <w:szCs w:val="18"/>
          <w:lang w:val="en-US"/>
        </w:rPr>
        <w:t xml:space="preserve">artnership </w:t>
      </w:r>
      <w:r w:rsidR="006E5526">
        <w:rPr>
          <w:rFonts w:ascii="Verdana" w:eastAsia="Times New Roman" w:hAnsi="Verdana" w:cs="Helvetica"/>
          <w:color w:val="000000"/>
          <w:sz w:val="18"/>
          <w:szCs w:val="18"/>
          <w:lang w:val="en-US"/>
        </w:rPr>
        <w:t>through</w:t>
      </w:r>
      <w:r>
        <w:rPr>
          <w:rFonts w:ascii="Verdana" w:eastAsia="Times New Roman" w:hAnsi="Verdana" w:cs="Helvetica"/>
          <w:color w:val="000000"/>
          <w:sz w:val="18"/>
          <w:szCs w:val="18"/>
          <w:lang w:val="en-US"/>
        </w:rPr>
        <w:t xml:space="preserve"> </w:t>
      </w:r>
      <w:r w:rsidRPr="00553A72">
        <w:rPr>
          <w:rFonts w:ascii="Verdana" w:eastAsia="Times New Roman" w:hAnsi="Verdana" w:cs="Helvetica"/>
          <w:color w:val="000000"/>
          <w:sz w:val="18"/>
          <w:szCs w:val="18"/>
          <w:lang w:val="en-US"/>
        </w:rPr>
        <w:t xml:space="preserve">their own individual expertise but also the wider knowledge of the </w:t>
      </w:r>
      <w:proofErr w:type="spellStart"/>
      <w:r w:rsidRPr="00553A72">
        <w:rPr>
          <w:rFonts w:ascii="Verdana" w:eastAsia="Times New Roman" w:hAnsi="Verdana" w:cs="Helvetica"/>
          <w:color w:val="000000"/>
          <w:sz w:val="18"/>
          <w:szCs w:val="18"/>
          <w:lang w:val="en-US"/>
        </w:rPr>
        <w:t>organi</w:t>
      </w:r>
      <w:r w:rsidR="004F18F6">
        <w:rPr>
          <w:rFonts w:ascii="Verdana" w:eastAsia="Times New Roman" w:hAnsi="Verdana" w:cs="Helvetica"/>
          <w:color w:val="000000"/>
          <w:sz w:val="18"/>
          <w:szCs w:val="18"/>
          <w:lang w:val="en-US"/>
        </w:rPr>
        <w:t>s</w:t>
      </w:r>
      <w:r w:rsidRPr="00553A72">
        <w:rPr>
          <w:rFonts w:ascii="Verdana" w:eastAsia="Times New Roman" w:hAnsi="Verdana" w:cs="Helvetica"/>
          <w:color w:val="000000"/>
          <w:sz w:val="18"/>
          <w:szCs w:val="18"/>
          <w:lang w:val="en-US"/>
        </w:rPr>
        <w:t>ation</w:t>
      </w:r>
      <w:proofErr w:type="spellEnd"/>
      <w:r w:rsidRPr="00553A72">
        <w:rPr>
          <w:rFonts w:ascii="Verdana" w:eastAsia="Times New Roman" w:hAnsi="Verdana" w:cs="Helvetica"/>
          <w:color w:val="000000"/>
          <w:sz w:val="18"/>
          <w:szCs w:val="18"/>
          <w:lang w:val="en-US"/>
        </w:rPr>
        <w:t xml:space="preserve"> they represent</w:t>
      </w:r>
      <w:r>
        <w:rPr>
          <w:rFonts w:ascii="Verdana" w:eastAsia="Times New Roman" w:hAnsi="Verdana" w:cs="Helvetica"/>
          <w:color w:val="000000"/>
          <w:sz w:val="18"/>
          <w:szCs w:val="18"/>
          <w:lang w:val="en-US"/>
        </w:rPr>
        <w:t>;</w:t>
      </w:r>
    </w:p>
    <w:p w:rsidR="004E4673" w:rsidRPr="00AA7D71" w:rsidRDefault="004E4673" w:rsidP="004E4673">
      <w:pPr>
        <w:pStyle w:val="Lijstalinea"/>
        <w:rPr>
          <w:rFonts w:ascii="Verdana" w:eastAsia="Times New Roman" w:hAnsi="Verdana" w:cs="Helvetica"/>
          <w:color w:val="000000"/>
          <w:sz w:val="18"/>
          <w:szCs w:val="18"/>
          <w:lang w:val="en-US"/>
        </w:rPr>
      </w:pPr>
    </w:p>
    <w:p w:rsidR="004E4673" w:rsidRPr="00553A72" w:rsidRDefault="006E5526" w:rsidP="004E4673">
      <w:pPr>
        <w:pStyle w:val="Lijstalinea"/>
        <w:numPr>
          <w:ilvl w:val="0"/>
          <w:numId w:val="21"/>
        </w:numPr>
        <w:shd w:val="clear" w:color="auto" w:fill="FFFFFF"/>
        <w:rPr>
          <w:rFonts w:ascii="Verdana" w:eastAsia="Times New Roman" w:hAnsi="Verdana" w:cs="Helvetica"/>
          <w:color w:val="000000"/>
          <w:sz w:val="18"/>
          <w:szCs w:val="18"/>
          <w:lang w:val="en-US"/>
        </w:rPr>
      </w:pPr>
      <w:r>
        <w:rPr>
          <w:rFonts w:ascii="Verdana" w:eastAsia="Times New Roman" w:hAnsi="Verdana" w:cs="Helvetica"/>
          <w:color w:val="000000"/>
          <w:sz w:val="18"/>
          <w:szCs w:val="18"/>
          <w:lang w:val="en-US"/>
        </w:rPr>
        <w:t>Assist to the debate about</w:t>
      </w:r>
      <w:r w:rsidR="004E4673" w:rsidRPr="00553A72">
        <w:rPr>
          <w:rFonts w:ascii="Verdana" w:eastAsia="Times New Roman" w:hAnsi="Verdana" w:cs="Helvetica"/>
          <w:color w:val="000000"/>
          <w:sz w:val="18"/>
          <w:szCs w:val="18"/>
          <w:lang w:val="en-US"/>
        </w:rPr>
        <w:t xml:space="preserve"> the </w:t>
      </w:r>
      <w:r w:rsidR="004F18F6">
        <w:rPr>
          <w:rFonts w:ascii="Verdana" w:eastAsia="Times New Roman" w:hAnsi="Verdana" w:cs="Helvetica"/>
          <w:color w:val="000000"/>
          <w:sz w:val="18"/>
          <w:szCs w:val="18"/>
          <w:lang w:val="en-US"/>
        </w:rPr>
        <w:t>P</w:t>
      </w:r>
      <w:r w:rsidR="004E4673" w:rsidRPr="00553A72">
        <w:rPr>
          <w:rFonts w:ascii="Verdana" w:eastAsia="Times New Roman" w:hAnsi="Verdana" w:cs="Helvetica"/>
          <w:color w:val="000000"/>
          <w:sz w:val="18"/>
          <w:szCs w:val="18"/>
          <w:lang w:val="en-US"/>
        </w:rPr>
        <w:t xml:space="preserve">artnership </w:t>
      </w:r>
      <w:r w:rsidR="004F18F6">
        <w:rPr>
          <w:rFonts w:ascii="Verdana" w:eastAsia="Times New Roman" w:hAnsi="Verdana" w:cs="Helvetica"/>
          <w:color w:val="000000"/>
          <w:sz w:val="18"/>
          <w:szCs w:val="18"/>
          <w:lang w:val="en-US"/>
        </w:rPr>
        <w:t>with</w:t>
      </w:r>
      <w:r w:rsidR="004E4673" w:rsidRPr="00553A72">
        <w:rPr>
          <w:rFonts w:ascii="Verdana" w:eastAsia="Times New Roman" w:hAnsi="Verdana" w:cs="Helvetica"/>
          <w:color w:val="000000"/>
          <w:sz w:val="18"/>
          <w:szCs w:val="18"/>
          <w:lang w:val="en-US"/>
        </w:rPr>
        <w:t>in their territory.</w:t>
      </w:r>
    </w:p>
    <w:p w:rsidR="006A0FAF" w:rsidRPr="004E4673" w:rsidRDefault="004E4673" w:rsidP="004E4673">
      <w:pPr>
        <w:shd w:val="clear" w:color="auto" w:fill="FFFFFF"/>
        <w:spacing w:line="240" w:lineRule="auto"/>
        <w:rPr>
          <w:rFonts w:ascii="Verdana" w:eastAsia="Times New Roman" w:hAnsi="Verdana" w:cs="Helvetica"/>
          <w:color w:val="000000"/>
          <w:sz w:val="18"/>
          <w:szCs w:val="18"/>
          <w:lang w:val="en-US"/>
        </w:rPr>
      </w:pPr>
      <w:r>
        <w:rPr>
          <w:rFonts w:ascii="Verdana" w:eastAsia="Times New Roman" w:hAnsi="Verdana" w:cs="Helvetica"/>
          <w:color w:val="000000"/>
          <w:sz w:val="18"/>
          <w:szCs w:val="18"/>
          <w:lang w:val="en-US"/>
        </w:rPr>
        <w:tab/>
      </w:r>
    </w:p>
    <w:p w:rsidR="00A226EE" w:rsidRPr="00C37158" w:rsidRDefault="00383C89" w:rsidP="00097799">
      <w:pPr>
        <w:shd w:val="clear" w:color="auto" w:fill="FFFFFF"/>
        <w:spacing w:line="240" w:lineRule="auto"/>
        <w:jc w:val="both"/>
        <w:rPr>
          <w:rFonts w:ascii="Verdana" w:eastAsia="Times New Roman" w:hAnsi="Verdana" w:cs="Helvetica"/>
          <w:b/>
          <w:i/>
          <w:color w:val="000000"/>
          <w:sz w:val="18"/>
          <w:szCs w:val="18"/>
          <w:lang w:val="en-US"/>
        </w:rPr>
      </w:pPr>
      <w:r>
        <w:rPr>
          <w:rFonts w:ascii="Verdana" w:eastAsia="Times New Roman" w:hAnsi="Verdana" w:cs="Helvetica"/>
          <w:b/>
          <w:i/>
          <w:color w:val="000000"/>
          <w:sz w:val="18"/>
          <w:szCs w:val="18"/>
          <w:u w:val="single"/>
          <w:lang w:val="en-US"/>
        </w:rPr>
        <w:t xml:space="preserve">II </w:t>
      </w:r>
      <w:r w:rsidR="00A226EE" w:rsidRPr="00C37158">
        <w:rPr>
          <w:rFonts w:ascii="Verdana" w:eastAsia="Times New Roman" w:hAnsi="Verdana" w:cs="Helvetica"/>
          <w:b/>
          <w:i/>
          <w:color w:val="000000"/>
          <w:sz w:val="18"/>
          <w:szCs w:val="18"/>
          <w:u w:val="single"/>
          <w:lang w:val="en-US"/>
        </w:rPr>
        <w:t>PHASES &amp; DELIVERABLES</w:t>
      </w:r>
    </w:p>
    <w:p w:rsidR="00DD57AD"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u w:val="single"/>
          <w:lang w:val="en-US"/>
        </w:rPr>
        <w:t>Step n°1- Stocktaking</w:t>
      </w:r>
      <w:r w:rsidRPr="00A226EE">
        <w:rPr>
          <w:rFonts w:ascii="Verdana" w:eastAsia="Times New Roman" w:hAnsi="Verdana" w:cs="Helvetica"/>
          <w:color w:val="000000"/>
          <w:sz w:val="18"/>
          <w:szCs w:val="18"/>
          <w:lang w:val="en-US"/>
        </w:rPr>
        <w:t xml:space="preserve">: </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In the first step, the members of the Partnership would identify the existing work carried out on the Priority Theme (strategies, actions and working groups/ networks covering these issues at EU level). As the aim is to avoid duplication but rather ensure coordination and reinforce what is already being done, this step is crucial to decide how to move forward in building the Partnership (for example: adjust the topic of the Priority Theme; limit the scope of the Partnership; </w:t>
      </w:r>
      <w:proofErr w:type="spellStart"/>
      <w:r w:rsidRPr="00A226EE">
        <w:rPr>
          <w:rFonts w:ascii="Verdana" w:eastAsia="Times New Roman" w:hAnsi="Verdana" w:cs="Helvetica"/>
          <w:color w:val="000000"/>
          <w:sz w:val="18"/>
          <w:szCs w:val="18"/>
          <w:lang w:val="en-US"/>
        </w:rPr>
        <w:t>organise</w:t>
      </w:r>
      <w:proofErr w:type="spellEnd"/>
      <w:r w:rsidRPr="00A226EE">
        <w:rPr>
          <w:rFonts w:ascii="Verdana" w:eastAsia="Times New Roman" w:hAnsi="Verdana" w:cs="Helvetica"/>
          <w:color w:val="000000"/>
          <w:sz w:val="18"/>
          <w:szCs w:val="18"/>
          <w:lang w:val="en-US"/>
        </w:rPr>
        <w:t xml:space="preserve"> active participation to existing strategies, actions and working groups/ networks to ensure that the urban dimension is taken into account; etc.). In this stocktaking step, the members of the Partnerships would also identify the sources of fund</w:t>
      </w:r>
      <w:r w:rsidR="00383C89">
        <w:rPr>
          <w:rFonts w:ascii="Verdana" w:eastAsia="Times New Roman" w:hAnsi="Verdana" w:cs="Helvetica"/>
          <w:color w:val="000000"/>
          <w:sz w:val="18"/>
          <w:szCs w:val="18"/>
          <w:lang w:val="en-US"/>
        </w:rPr>
        <w:t>ing</w:t>
      </w:r>
      <w:r w:rsidRPr="00A226EE">
        <w:rPr>
          <w:rFonts w:ascii="Verdana" w:eastAsia="Times New Roman" w:hAnsi="Verdana" w:cs="Helvetica"/>
          <w:color w:val="000000"/>
          <w:sz w:val="18"/>
          <w:szCs w:val="18"/>
          <w:lang w:val="en-US"/>
        </w:rPr>
        <w:t xml:space="preserve"> and expertise which could be made available for the functioning of the Partnership. The Commission will contribute by providing the stocktaking at EU level.</w:t>
      </w:r>
    </w:p>
    <w:p w:rsidR="00DD57AD" w:rsidRDefault="00A226EE" w:rsidP="00097799">
      <w:pPr>
        <w:shd w:val="clear" w:color="auto" w:fill="FFFFFF"/>
        <w:spacing w:line="240" w:lineRule="auto"/>
        <w:rPr>
          <w:rFonts w:ascii="Verdana" w:eastAsia="Times New Roman" w:hAnsi="Verdana" w:cs="Helvetica"/>
          <w:color w:val="000000"/>
          <w:sz w:val="18"/>
          <w:szCs w:val="18"/>
          <w:u w:val="single"/>
          <w:lang w:val="en-US"/>
        </w:rPr>
      </w:pPr>
      <w:r w:rsidRPr="00A226EE">
        <w:rPr>
          <w:rFonts w:ascii="Verdana" w:eastAsia="Times New Roman" w:hAnsi="Verdana" w:cs="Helvetica"/>
          <w:color w:val="000000"/>
          <w:sz w:val="18"/>
          <w:szCs w:val="18"/>
          <w:u w:val="single"/>
          <w:lang w:val="en-US"/>
        </w:rPr>
        <w:t>Step n°2- Identify the bottlenecks and the potential</w:t>
      </w:r>
      <w:r w:rsidR="00DD57AD">
        <w:rPr>
          <w:rFonts w:ascii="Verdana" w:eastAsia="Times New Roman" w:hAnsi="Verdana" w:cs="Helvetica"/>
          <w:color w:val="000000"/>
          <w:sz w:val="18"/>
          <w:szCs w:val="18"/>
          <w:u w:val="single"/>
          <w:lang w:val="en-US"/>
        </w:rPr>
        <w:t>s</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In the second step, the members of the Partnership would identify the bottlenecks and the potentials to identify the areas where the Action Plan should focus. These could be at EU, national or local level.</w:t>
      </w:r>
    </w:p>
    <w:p w:rsidR="00DD57AD"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u w:val="single"/>
          <w:lang w:val="en-US"/>
        </w:rPr>
        <w:t>Step n°3- Define the objectives and deliverables</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In the third step, the members of the Partnership would agree on a set of actions that address the issues of the Priority Theme (Action Plan). The proposed actions need to respect the principles of subsidiarity and proportionality. This should be done in the first 6-12 months of the Partnership. A model Action Plan is available for each Partnership and should include:  </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a)    Actions which could be, for example:</w:t>
      </w:r>
    </w:p>
    <w:p w:rsidR="00A226EE" w:rsidRPr="00A226EE" w:rsidRDefault="00A226EE" w:rsidP="00097799">
      <w:pPr>
        <w:shd w:val="clear" w:color="auto" w:fill="FFFFFF"/>
        <w:spacing w:line="240" w:lineRule="auto"/>
        <w:ind w:left="708"/>
        <w:rPr>
          <w:rFonts w:ascii="Verdana" w:eastAsiaTheme="minorHAnsi" w:hAnsi="Verdana" w:cs="Times New Roman"/>
          <w:sz w:val="18"/>
          <w:szCs w:val="18"/>
          <w:lang w:val="en-US"/>
        </w:rPr>
      </w:pPr>
      <w:r w:rsidRPr="00A226EE">
        <w:rPr>
          <w:rFonts w:ascii="Verdana" w:hAnsi="Verdana"/>
          <w:sz w:val="18"/>
          <w:szCs w:val="18"/>
          <w:lang w:val="en-US"/>
        </w:rPr>
        <w:t>a. Developing a proposal to better use of or adaptation of existing legislation and funding instruments (EU/ national/ local);</w:t>
      </w:r>
    </w:p>
    <w:p w:rsidR="00A226EE" w:rsidRPr="00A226EE" w:rsidRDefault="0091760E" w:rsidP="00097799">
      <w:pPr>
        <w:shd w:val="clear" w:color="auto" w:fill="FFFFFF"/>
        <w:spacing w:line="240" w:lineRule="auto"/>
        <w:ind w:left="708"/>
        <w:rPr>
          <w:rFonts w:ascii="Verdana" w:hAnsi="Verdana"/>
          <w:sz w:val="18"/>
          <w:szCs w:val="18"/>
          <w:lang w:val="en-US"/>
        </w:rPr>
      </w:pPr>
      <w:r w:rsidRPr="0049546C">
        <w:rPr>
          <w:rFonts w:ascii="Verdana" w:hAnsi="Verdana"/>
          <w:sz w:val="18"/>
          <w:szCs w:val="18"/>
          <w:lang w:val="en-US"/>
        </w:rPr>
        <w:t xml:space="preserve"> </w:t>
      </w:r>
      <w:r w:rsidR="00383C89">
        <w:rPr>
          <w:rFonts w:ascii="Verdana" w:hAnsi="Verdana"/>
          <w:sz w:val="18"/>
          <w:szCs w:val="18"/>
          <w:lang w:val="en-US"/>
        </w:rPr>
        <w:t>b</w:t>
      </w:r>
      <w:r w:rsidR="00A226EE" w:rsidRPr="00A226EE">
        <w:rPr>
          <w:rFonts w:ascii="Verdana" w:hAnsi="Verdana"/>
          <w:sz w:val="18"/>
          <w:szCs w:val="18"/>
          <w:lang w:val="en-US"/>
        </w:rPr>
        <w:t>. Implementing a research project to find possible solutions and/or fill EU wide knowledge gaps. </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b)    Roadmap of each action indicating deliverables, target dates and the responsible (e.g. Commission, Member States, </w:t>
      </w:r>
      <w:r w:rsidR="009109BA">
        <w:rPr>
          <w:rFonts w:ascii="Verdana" w:eastAsia="Times New Roman" w:hAnsi="Verdana" w:cs="Helvetica"/>
          <w:color w:val="000000"/>
          <w:sz w:val="18"/>
          <w:szCs w:val="18"/>
          <w:lang w:val="en-US"/>
        </w:rPr>
        <w:t>Urban A</w:t>
      </w:r>
      <w:r w:rsidRPr="00A226EE">
        <w:rPr>
          <w:rFonts w:ascii="Verdana" w:eastAsia="Times New Roman" w:hAnsi="Verdana" w:cs="Helvetica"/>
          <w:color w:val="000000"/>
          <w:sz w:val="18"/>
          <w:szCs w:val="18"/>
          <w:lang w:val="en-US"/>
        </w:rPr>
        <w:t>reas, etc.).</w:t>
      </w:r>
    </w:p>
    <w:p w:rsid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c)    If appropriate, indicators and targets could be set (but only if there is a direct link between the Action Plan and the target).</w:t>
      </w:r>
    </w:p>
    <w:p w:rsidR="00DD57AD" w:rsidRDefault="00A226EE" w:rsidP="00097799">
      <w:pPr>
        <w:shd w:val="clear" w:color="auto" w:fill="FFFFFF"/>
        <w:spacing w:line="240" w:lineRule="auto"/>
        <w:rPr>
          <w:rFonts w:ascii="Verdana" w:eastAsia="Times New Roman" w:hAnsi="Verdana" w:cs="Helvetica"/>
          <w:color w:val="000000"/>
          <w:sz w:val="18"/>
          <w:szCs w:val="18"/>
          <w:u w:val="single"/>
          <w:lang w:val="en-US"/>
        </w:rPr>
      </w:pPr>
      <w:r w:rsidRPr="00A226EE">
        <w:rPr>
          <w:rFonts w:ascii="Verdana" w:eastAsia="Times New Roman" w:hAnsi="Verdana" w:cs="Helvetica"/>
          <w:color w:val="000000"/>
          <w:sz w:val="18"/>
          <w:szCs w:val="18"/>
          <w:u w:val="single"/>
          <w:lang w:val="en-US"/>
        </w:rPr>
        <w:t>Step n°4- Implementation of the Action Pla</w:t>
      </w:r>
      <w:r w:rsidR="0049546C">
        <w:rPr>
          <w:rFonts w:ascii="Verdana" w:eastAsia="Times New Roman" w:hAnsi="Verdana" w:cs="Helvetica"/>
          <w:color w:val="000000"/>
          <w:sz w:val="18"/>
          <w:szCs w:val="18"/>
          <w:u w:val="single"/>
          <w:lang w:val="en-US"/>
        </w:rPr>
        <w:t>n</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In the fourth step, the members of the Partnership should coordinate the work on the implementation of the Action Plan with the interested parties i.e. other Member States, </w:t>
      </w:r>
      <w:r w:rsidR="00383C89">
        <w:rPr>
          <w:rFonts w:ascii="Verdana" w:eastAsia="Times New Roman" w:hAnsi="Verdana" w:cs="Helvetica"/>
          <w:color w:val="000000"/>
          <w:sz w:val="18"/>
          <w:szCs w:val="18"/>
          <w:lang w:val="en-US"/>
        </w:rPr>
        <w:t>U</w:t>
      </w:r>
      <w:r w:rsidR="009109BA">
        <w:rPr>
          <w:rFonts w:ascii="Verdana" w:eastAsia="Times New Roman" w:hAnsi="Verdana" w:cs="Helvetica"/>
          <w:color w:val="000000"/>
          <w:sz w:val="18"/>
          <w:szCs w:val="18"/>
          <w:lang w:val="en-US"/>
        </w:rPr>
        <w:t>rban A</w:t>
      </w:r>
      <w:r w:rsidRPr="00A226EE">
        <w:rPr>
          <w:rFonts w:ascii="Verdana" w:eastAsia="Times New Roman" w:hAnsi="Verdana" w:cs="Helvetica"/>
          <w:color w:val="000000"/>
          <w:sz w:val="18"/>
          <w:szCs w:val="18"/>
          <w:lang w:val="en-US"/>
        </w:rPr>
        <w:t>reas</w:t>
      </w:r>
      <w:r w:rsidR="00383C89">
        <w:rPr>
          <w:rFonts w:ascii="Verdana" w:eastAsia="Times New Roman" w:hAnsi="Verdana" w:cs="Helvetica"/>
          <w:color w:val="000000"/>
          <w:sz w:val="18"/>
          <w:szCs w:val="18"/>
          <w:lang w:val="en-US"/>
        </w:rPr>
        <w:t xml:space="preserve"> and existing Urban Networks concerned</w:t>
      </w:r>
      <w:r w:rsidRPr="00A226EE">
        <w:rPr>
          <w:rFonts w:ascii="Verdana" w:eastAsia="Times New Roman" w:hAnsi="Verdana" w:cs="Helvetica"/>
          <w:color w:val="000000"/>
          <w:sz w:val="18"/>
          <w:szCs w:val="18"/>
          <w:lang w:val="en-US"/>
        </w:rPr>
        <w:t xml:space="preserve">, etc. (once the Action Plan has been designed and agreed). </w:t>
      </w:r>
      <w:r w:rsidR="00383C89">
        <w:rPr>
          <w:rFonts w:ascii="Verdana" w:eastAsia="Times New Roman" w:hAnsi="Verdana" w:cs="Helvetica"/>
          <w:color w:val="000000"/>
          <w:sz w:val="18"/>
          <w:szCs w:val="18"/>
          <w:lang w:val="en-US"/>
        </w:rPr>
        <w:t>I</w:t>
      </w:r>
      <w:r w:rsidRPr="00A226EE">
        <w:rPr>
          <w:rFonts w:ascii="Verdana" w:eastAsia="Times New Roman" w:hAnsi="Verdana" w:cs="Helvetica"/>
          <w:color w:val="000000"/>
          <w:sz w:val="18"/>
          <w:szCs w:val="18"/>
          <w:lang w:val="en-US"/>
        </w:rPr>
        <w:t xml:space="preserve">t is important that the members of the Partnerships </w:t>
      </w:r>
      <w:r w:rsidR="00383C89">
        <w:rPr>
          <w:rFonts w:ascii="Verdana" w:eastAsia="Times New Roman" w:hAnsi="Verdana" w:cs="Helvetica"/>
          <w:color w:val="000000"/>
          <w:sz w:val="18"/>
          <w:szCs w:val="18"/>
          <w:lang w:val="en-US"/>
        </w:rPr>
        <w:t>develop</w:t>
      </w:r>
      <w:r w:rsidRPr="00A226EE">
        <w:rPr>
          <w:rFonts w:ascii="Verdana" w:eastAsia="Times New Roman" w:hAnsi="Verdana" w:cs="Helvetica"/>
          <w:color w:val="000000"/>
          <w:sz w:val="18"/>
          <w:szCs w:val="18"/>
          <w:lang w:val="en-US"/>
        </w:rPr>
        <w:t xml:space="preserve"> links with the relevant authorities/ organisations/ enterprises.</w:t>
      </w:r>
    </w:p>
    <w:p w:rsidR="00DD57AD"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u w:val="single"/>
          <w:lang w:val="en-US"/>
        </w:rPr>
        <w:t>Step n°5- Evaluation of the Partnership</w:t>
      </w:r>
      <w:r w:rsidRPr="00A226EE">
        <w:rPr>
          <w:rFonts w:ascii="Verdana" w:eastAsia="Times New Roman" w:hAnsi="Verdana" w:cs="Helvetica"/>
          <w:color w:val="000000"/>
          <w:sz w:val="18"/>
          <w:szCs w:val="18"/>
          <w:lang w:val="en-US"/>
        </w:rPr>
        <w:t xml:space="preserve">. </w:t>
      </w:r>
    </w:p>
    <w:p w:rsidR="00A226EE" w:rsidRPr="00A226EE" w:rsidRDefault="00A226EE" w:rsidP="00097799">
      <w:pPr>
        <w:shd w:val="clear" w:color="auto" w:fill="FFFFFF"/>
        <w:spacing w:line="240" w:lineRule="auto"/>
        <w:rPr>
          <w:rFonts w:ascii="Verdana" w:eastAsia="Times New Roman" w:hAnsi="Verdana" w:cs="Helvetica"/>
          <w:color w:val="000000"/>
          <w:sz w:val="18"/>
          <w:szCs w:val="18"/>
          <w:lang w:val="en-US"/>
        </w:rPr>
      </w:pPr>
      <w:r w:rsidRPr="00A226EE">
        <w:rPr>
          <w:rFonts w:ascii="Verdana" w:eastAsia="Times New Roman" w:hAnsi="Verdana" w:cs="Helvetica"/>
          <w:color w:val="000000"/>
          <w:sz w:val="18"/>
          <w:szCs w:val="18"/>
          <w:lang w:val="en-US"/>
        </w:rPr>
        <w:t xml:space="preserve">The partners should </w:t>
      </w:r>
      <w:r w:rsidR="00383C89">
        <w:rPr>
          <w:rFonts w:ascii="Verdana" w:eastAsia="Times New Roman" w:hAnsi="Verdana" w:cs="Helvetica"/>
          <w:color w:val="000000"/>
          <w:sz w:val="18"/>
          <w:szCs w:val="18"/>
          <w:lang w:val="en-US"/>
        </w:rPr>
        <w:t>evaluate their work after</w:t>
      </w:r>
      <w:r w:rsidRPr="00A226EE">
        <w:rPr>
          <w:rFonts w:ascii="Verdana" w:eastAsia="Times New Roman" w:hAnsi="Verdana" w:cs="Helvetica"/>
          <w:color w:val="000000"/>
          <w:sz w:val="18"/>
          <w:szCs w:val="18"/>
          <w:lang w:val="en-US"/>
        </w:rPr>
        <w:t xml:space="preserve"> three years. The evaluation </w:t>
      </w:r>
      <w:r w:rsidR="00383C89">
        <w:rPr>
          <w:rFonts w:ascii="Verdana" w:eastAsia="Times New Roman" w:hAnsi="Verdana" w:cs="Helvetica"/>
          <w:color w:val="000000"/>
          <w:sz w:val="18"/>
          <w:szCs w:val="18"/>
          <w:lang w:val="en-US"/>
        </w:rPr>
        <w:t>will</w:t>
      </w:r>
      <w:r w:rsidR="00383C89" w:rsidRPr="00A226EE">
        <w:rPr>
          <w:rFonts w:ascii="Verdana" w:eastAsia="Times New Roman" w:hAnsi="Verdana" w:cs="Helvetica"/>
          <w:color w:val="000000"/>
          <w:sz w:val="18"/>
          <w:szCs w:val="18"/>
          <w:lang w:val="en-US"/>
        </w:rPr>
        <w:t xml:space="preserve"> </w:t>
      </w:r>
      <w:r w:rsidRPr="00A226EE">
        <w:rPr>
          <w:rFonts w:ascii="Verdana" w:eastAsia="Times New Roman" w:hAnsi="Verdana" w:cs="Helvetica"/>
          <w:color w:val="000000"/>
          <w:sz w:val="18"/>
          <w:szCs w:val="18"/>
          <w:lang w:val="en-US"/>
        </w:rPr>
        <w:t>provide input for other existing and new Partnerships. </w:t>
      </w:r>
    </w:p>
    <w:p w:rsidR="00C71BF1" w:rsidRDefault="00C71BF1" w:rsidP="00097799">
      <w:pPr>
        <w:shd w:val="clear" w:color="auto" w:fill="FFFFFF"/>
        <w:spacing w:line="240" w:lineRule="auto"/>
        <w:rPr>
          <w:rFonts w:ascii="Verdana" w:eastAsia="Times New Roman" w:hAnsi="Verdana" w:cs="Helvetica"/>
          <w:color w:val="000000"/>
          <w:sz w:val="18"/>
          <w:szCs w:val="18"/>
          <w:u w:val="single"/>
          <w:lang w:val="en-US"/>
        </w:rPr>
      </w:pPr>
    </w:p>
    <w:p w:rsidR="00DD57AD" w:rsidRDefault="00383C89" w:rsidP="00097799">
      <w:pPr>
        <w:shd w:val="clear" w:color="auto" w:fill="FFFFFF"/>
        <w:spacing w:line="240" w:lineRule="auto"/>
        <w:rPr>
          <w:rFonts w:ascii="Verdana" w:eastAsia="Times New Roman" w:hAnsi="Verdana" w:cs="Helvetica"/>
          <w:b/>
          <w:i/>
          <w:color w:val="000000"/>
          <w:sz w:val="18"/>
          <w:szCs w:val="18"/>
          <w:lang w:val="en-US"/>
        </w:rPr>
      </w:pPr>
      <w:r>
        <w:rPr>
          <w:rFonts w:ascii="Verdana" w:eastAsia="Times New Roman" w:hAnsi="Verdana" w:cs="Helvetica"/>
          <w:b/>
          <w:i/>
          <w:color w:val="000000"/>
          <w:sz w:val="18"/>
          <w:szCs w:val="18"/>
          <w:u w:val="single"/>
          <w:lang w:val="en-US"/>
        </w:rPr>
        <w:t xml:space="preserve">III </w:t>
      </w:r>
      <w:r w:rsidR="00A226EE" w:rsidRPr="00C37158">
        <w:rPr>
          <w:rFonts w:ascii="Verdana" w:eastAsia="Times New Roman" w:hAnsi="Verdana" w:cs="Helvetica"/>
          <w:b/>
          <w:i/>
          <w:color w:val="000000"/>
          <w:sz w:val="18"/>
          <w:szCs w:val="18"/>
          <w:u w:val="single"/>
          <w:lang w:val="en-US"/>
        </w:rPr>
        <w:t>PRACTICALITIES</w:t>
      </w:r>
    </w:p>
    <w:p w:rsidR="00DD57AD" w:rsidRPr="00DD57AD" w:rsidRDefault="00A226EE" w:rsidP="00097799">
      <w:pPr>
        <w:pStyle w:val="Lijstalinea"/>
        <w:numPr>
          <w:ilvl w:val="0"/>
          <w:numId w:val="7"/>
        </w:numPr>
        <w:shd w:val="clear" w:color="auto" w:fill="FFFFFF"/>
        <w:spacing w:line="240" w:lineRule="auto"/>
        <w:rPr>
          <w:rFonts w:ascii="Verdana" w:eastAsia="Times New Roman" w:hAnsi="Verdana" w:cs="Helvetica"/>
          <w:i/>
          <w:color w:val="000000"/>
          <w:sz w:val="18"/>
          <w:szCs w:val="18"/>
          <w:lang w:val="en-US"/>
        </w:rPr>
      </w:pPr>
      <w:r w:rsidRPr="00DD57AD">
        <w:rPr>
          <w:rFonts w:ascii="Verdana" w:eastAsia="Times New Roman" w:hAnsi="Verdana" w:cs="Helvetica"/>
          <w:color w:val="000000"/>
          <w:sz w:val="18"/>
          <w:szCs w:val="18"/>
          <w:u w:val="single"/>
          <w:lang w:val="en-US"/>
        </w:rPr>
        <w:t>Meetings &amp; Gatherings</w:t>
      </w:r>
      <w:r w:rsidRPr="00DD57AD">
        <w:rPr>
          <w:rFonts w:ascii="Verdana" w:eastAsia="Times New Roman" w:hAnsi="Verdana" w:cs="Helvetica"/>
          <w:color w:val="000000"/>
          <w:sz w:val="18"/>
          <w:szCs w:val="18"/>
          <w:lang w:val="en-US"/>
        </w:rPr>
        <w:t xml:space="preserve">: Each </w:t>
      </w:r>
      <w:r w:rsidR="004F18F6">
        <w:rPr>
          <w:rFonts w:ascii="Verdana" w:eastAsia="Times New Roman" w:hAnsi="Verdana" w:cs="Helvetica"/>
          <w:color w:val="000000"/>
          <w:sz w:val="18"/>
          <w:szCs w:val="18"/>
          <w:lang w:val="en-US"/>
        </w:rPr>
        <w:t>P</w:t>
      </w:r>
      <w:r w:rsidR="004F18F6" w:rsidRPr="00DD57AD">
        <w:rPr>
          <w:rFonts w:ascii="Verdana" w:eastAsia="Times New Roman" w:hAnsi="Verdana" w:cs="Helvetica"/>
          <w:color w:val="000000"/>
          <w:sz w:val="18"/>
          <w:szCs w:val="18"/>
          <w:lang w:val="en-US"/>
        </w:rPr>
        <w:t xml:space="preserve">artnership </w:t>
      </w:r>
      <w:r w:rsidRPr="00DD57AD">
        <w:rPr>
          <w:rFonts w:ascii="Verdana" w:eastAsia="Times New Roman" w:hAnsi="Verdana" w:cs="Helvetica"/>
          <w:color w:val="000000"/>
          <w:sz w:val="18"/>
          <w:szCs w:val="18"/>
          <w:lang w:val="en-US"/>
        </w:rPr>
        <w:t xml:space="preserve">will decide how often </w:t>
      </w:r>
      <w:r w:rsidR="00DE4548">
        <w:rPr>
          <w:rFonts w:ascii="Verdana" w:eastAsia="Times New Roman" w:hAnsi="Verdana" w:cs="Helvetica"/>
          <w:color w:val="000000"/>
          <w:sz w:val="18"/>
          <w:szCs w:val="18"/>
          <w:lang w:val="en-US"/>
        </w:rPr>
        <w:t>it</w:t>
      </w:r>
      <w:r w:rsidR="00DE4548" w:rsidRPr="00DD57AD">
        <w:rPr>
          <w:rFonts w:ascii="Verdana" w:eastAsia="Times New Roman" w:hAnsi="Verdana" w:cs="Helvetica"/>
          <w:color w:val="000000"/>
          <w:sz w:val="18"/>
          <w:szCs w:val="18"/>
          <w:lang w:val="en-US"/>
        </w:rPr>
        <w:t xml:space="preserve"> </w:t>
      </w:r>
      <w:r w:rsidRPr="00DD57AD">
        <w:rPr>
          <w:rFonts w:ascii="Verdana" w:eastAsia="Times New Roman" w:hAnsi="Verdana" w:cs="Helvetica"/>
          <w:color w:val="000000"/>
          <w:sz w:val="18"/>
          <w:szCs w:val="18"/>
          <w:lang w:val="en-US"/>
        </w:rPr>
        <w:t>convene</w:t>
      </w:r>
      <w:r w:rsidR="00DE4548">
        <w:rPr>
          <w:rFonts w:ascii="Verdana" w:eastAsia="Times New Roman" w:hAnsi="Verdana" w:cs="Helvetica"/>
          <w:color w:val="000000"/>
          <w:sz w:val="18"/>
          <w:szCs w:val="18"/>
          <w:lang w:val="en-US"/>
        </w:rPr>
        <w:t>s</w:t>
      </w:r>
      <w:r w:rsidRPr="00DD57AD">
        <w:rPr>
          <w:rFonts w:ascii="Verdana" w:eastAsia="Times New Roman" w:hAnsi="Verdana" w:cs="Helvetica"/>
          <w:color w:val="000000"/>
          <w:sz w:val="18"/>
          <w:szCs w:val="18"/>
          <w:lang w:val="en-US"/>
        </w:rPr>
        <w:t>. During the stocktaking phase</w:t>
      </w:r>
      <w:r w:rsidR="00DE4548">
        <w:rPr>
          <w:rFonts w:ascii="Verdana" w:eastAsia="Times New Roman" w:hAnsi="Verdana" w:cs="Helvetica"/>
          <w:color w:val="000000"/>
          <w:sz w:val="18"/>
          <w:szCs w:val="18"/>
          <w:lang w:val="en-US"/>
        </w:rPr>
        <w:t>,</w:t>
      </w:r>
      <w:r w:rsidRPr="00DD57AD">
        <w:rPr>
          <w:rFonts w:ascii="Verdana" w:eastAsia="Times New Roman" w:hAnsi="Verdana" w:cs="Helvetica"/>
          <w:color w:val="000000"/>
          <w:sz w:val="18"/>
          <w:szCs w:val="18"/>
          <w:lang w:val="en-US"/>
        </w:rPr>
        <w:t xml:space="preserve"> the </w:t>
      </w:r>
      <w:r w:rsidR="00DE4548">
        <w:rPr>
          <w:rFonts w:ascii="Verdana" w:eastAsia="Times New Roman" w:hAnsi="Verdana" w:cs="Helvetica"/>
          <w:color w:val="000000"/>
          <w:sz w:val="18"/>
          <w:szCs w:val="18"/>
          <w:lang w:val="en-US"/>
        </w:rPr>
        <w:t>P</w:t>
      </w:r>
      <w:r w:rsidR="00DE4548" w:rsidRPr="00DD57AD">
        <w:rPr>
          <w:rFonts w:ascii="Verdana" w:eastAsia="Times New Roman" w:hAnsi="Verdana" w:cs="Helvetica"/>
          <w:color w:val="000000"/>
          <w:sz w:val="18"/>
          <w:szCs w:val="18"/>
          <w:lang w:val="en-US"/>
        </w:rPr>
        <w:t xml:space="preserve">artnership </w:t>
      </w:r>
      <w:r w:rsidR="00383C89">
        <w:rPr>
          <w:rFonts w:ascii="Verdana" w:eastAsia="Times New Roman" w:hAnsi="Verdana" w:cs="Helvetica"/>
          <w:color w:val="000000"/>
          <w:sz w:val="18"/>
          <w:szCs w:val="18"/>
          <w:lang w:val="en-US"/>
        </w:rPr>
        <w:t>may</w:t>
      </w:r>
      <w:r w:rsidR="00383C89" w:rsidRPr="00DD57AD">
        <w:rPr>
          <w:rFonts w:ascii="Verdana" w:eastAsia="Times New Roman" w:hAnsi="Verdana" w:cs="Helvetica"/>
          <w:color w:val="000000"/>
          <w:sz w:val="18"/>
          <w:szCs w:val="18"/>
          <w:lang w:val="en-US"/>
        </w:rPr>
        <w:t xml:space="preserve"> </w:t>
      </w:r>
      <w:r w:rsidRPr="00DD57AD">
        <w:rPr>
          <w:rFonts w:ascii="Verdana" w:eastAsia="Times New Roman" w:hAnsi="Verdana" w:cs="Helvetica"/>
          <w:color w:val="000000"/>
          <w:sz w:val="18"/>
          <w:szCs w:val="18"/>
          <w:lang w:val="en-US"/>
        </w:rPr>
        <w:t xml:space="preserve">meet once every two months. In other stages, the </w:t>
      </w:r>
      <w:r w:rsidR="00DE4548">
        <w:rPr>
          <w:rFonts w:ascii="Verdana" w:eastAsia="Times New Roman" w:hAnsi="Verdana" w:cs="Helvetica"/>
          <w:color w:val="000000"/>
          <w:sz w:val="18"/>
          <w:szCs w:val="18"/>
          <w:lang w:val="en-US"/>
        </w:rPr>
        <w:t>P</w:t>
      </w:r>
      <w:r w:rsidR="00DE4548" w:rsidRPr="00DD57AD">
        <w:rPr>
          <w:rFonts w:ascii="Verdana" w:eastAsia="Times New Roman" w:hAnsi="Verdana" w:cs="Helvetica"/>
          <w:color w:val="000000"/>
          <w:sz w:val="18"/>
          <w:szCs w:val="18"/>
          <w:lang w:val="en-US"/>
        </w:rPr>
        <w:t xml:space="preserve">artnership </w:t>
      </w:r>
      <w:r w:rsidR="00383C89">
        <w:rPr>
          <w:rFonts w:ascii="Verdana" w:eastAsia="Times New Roman" w:hAnsi="Verdana" w:cs="Helvetica"/>
          <w:color w:val="000000"/>
          <w:sz w:val="18"/>
          <w:szCs w:val="18"/>
          <w:lang w:val="en-US"/>
        </w:rPr>
        <w:t>could</w:t>
      </w:r>
      <w:r w:rsidR="00383C89" w:rsidRPr="00DD57AD">
        <w:rPr>
          <w:rFonts w:ascii="Verdana" w:eastAsia="Times New Roman" w:hAnsi="Verdana" w:cs="Helvetica"/>
          <w:color w:val="000000"/>
          <w:sz w:val="18"/>
          <w:szCs w:val="18"/>
          <w:lang w:val="en-US"/>
        </w:rPr>
        <w:t xml:space="preserve"> </w:t>
      </w:r>
      <w:r w:rsidRPr="00DD57AD">
        <w:rPr>
          <w:rFonts w:ascii="Verdana" w:eastAsia="Times New Roman" w:hAnsi="Verdana" w:cs="Helvetica"/>
          <w:color w:val="000000"/>
          <w:sz w:val="18"/>
          <w:szCs w:val="18"/>
          <w:lang w:val="en-US"/>
        </w:rPr>
        <w:t xml:space="preserve">meet at least every six months to debate progress on the Action Plan. Meetings should preferably be held back to back with other meetings or events (for example a thematic event organised by one of the working groups of </w:t>
      </w:r>
      <w:r w:rsidR="00DE4548">
        <w:rPr>
          <w:rFonts w:ascii="Verdana" w:eastAsia="Times New Roman" w:hAnsi="Verdana" w:cs="Helvetica"/>
          <w:color w:val="000000"/>
          <w:sz w:val="18"/>
          <w:szCs w:val="18"/>
          <w:lang w:val="en-US"/>
        </w:rPr>
        <w:t>EUROCITIES</w:t>
      </w:r>
      <w:r w:rsidRPr="00DD57AD">
        <w:rPr>
          <w:rFonts w:ascii="Verdana" w:eastAsia="Times New Roman" w:hAnsi="Verdana" w:cs="Helvetica"/>
          <w:color w:val="000000"/>
          <w:sz w:val="18"/>
          <w:szCs w:val="18"/>
          <w:lang w:val="en-US"/>
        </w:rPr>
        <w:t>) in order to generate synarchy with other initiatives and to inform a broad pub</w:t>
      </w:r>
      <w:r w:rsidR="00DE4548">
        <w:rPr>
          <w:rFonts w:ascii="Verdana" w:eastAsia="Times New Roman" w:hAnsi="Verdana" w:cs="Helvetica"/>
          <w:color w:val="000000"/>
          <w:sz w:val="18"/>
          <w:szCs w:val="18"/>
          <w:lang w:val="en-US"/>
        </w:rPr>
        <w:t>l</w:t>
      </w:r>
      <w:r w:rsidRPr="00DD57AD">
        <w:rPr>
          <w:rFonts w:ascii="Verdana" w:eastAsia="Times New Roman" w:hAnsi="Verdana" w:cs="Helvetica"/>
          <w:color w:val="000000"/>
          <w:sz w:val="18"/>
          <w:szCs w:val="18"/>
          <w:lang w:val="en-US"/>
        </w:rPr>
        <w:t xml:space="preserve">ic </w:t>
      </w:r>
      <w:r w:rsidR="008C2518">
        <w:rPr>
          <w:rFonts w:ascii="Verdana" w:eastAsia="Times New Roman" w:hAnsi="Verdana" w:cs="Helvetica"/>
          <w:color w:val="000000"/>
          <w:sz w:val="18"/>
          <w:szCs w:val="18"/>
          <w:lang w:val="en-US"/>
        </w:rPr>
        <w:t>on the state of play</w:t>
      </w:r>
      <w:r w:rsidRPr="00DD57AD">
        <w:rPr>
          <w:rFonts w:ascii="Verdana" w:eastAsia="Times New Roman" w:hAnsi="Verdana" w:cs="Helvetica"/>
          <w:color w:val="000000"/>
          <w:sz w:val="18"/>
          <w:szCs w:val="18"/>
          <w:lang w:val="en-US"/>
        </w:rPr>
        <w:t xml:space="preserve"> of the partnership.</w:t>
      </w:r>
    </w:p>
    <w:p w:rsidR="00DD57AD" w:rsidRDefault="00DD57AD" w:rsidP="00097799">
      <w:pPr>
        <w:pStyle w:val="Lijstalinea"/>
        <w:shd w:val="clear" w:color="auto" w:fill="FFFFFF"/>
        <w:spacing w:line="240" w:lineRule="auto"/>
        <w:ind w:left="360"/>
        <w:rPr>
          <w:rFonts w:ascii="Verdana" w:eastAsia="Times New Roman" w:hAnsi="Verdana" w:cs="Helvetica"/>
          <w:color w:val="000000"/>
          <w:sz w:val="18"/>
          <w:szCs w:val="18"/>
          <w:u w:val="single"/>
          <w:lang w:val="en-US"/>
        </w:rPr>
      </w:pPr>
    </w:p>
    <w:p w:rsidR="00DD57AD" w:rsidRDefault="00A226EE" w:rsidP="00097799">
      <w:pPr>
        <w:pStyle w:val="Lijstalinea"/>
        <w:shd w:val="clear" w:color="auto" w:fill="FFFFFF"/>
        <w:spacing w:line="240" w:lineRule="auto"/>
        <w:ind w:left="360"/>
        <w:rPr>
          <w:rFonts w:ascii="Verdana" w:eastAsia="Times New Roman" w:hAnsi="Verdana" w:cs="Helvetica"/>
          <w:color w:val="000000"/>
          <w:sz w:val="18"/>
          <w:szCs w:val="18"/>
          <w:lang w:val="en-US"/>
        </w:rPr>
      </w:pPr>
      <w:r w:rsidRPr="00DD57AD">
        <w:rPr>
          <w:rFonts w:ascii="Verdana" w:eastAsia="Times New Roman" w:hAnsi="Verdana" w:cs="Helvetica"/>
          <w:color w:val="000000"/>
          <w:sz w:val="18"/>
          <w:szCs w:val="18"/>
          <w:lang w:val="en-US"/>
        </w:rPr>
        <w:t xml:space="preserve">Additionally, once a year, the Commission will organise a meeting with all the Coordinators to discuss the progress of the work, </w:t>
      </w:r>
      <w:r w:rsidR="00DE4548">
        <w:rPr>
          <w:rFonts w:ascii="Verdana" w:eastAsia="Times New Roman" w:hAnsi="Verdana" w:cs="Helvetica"/>
          <w:color w:val="000000"/>
          <w:sz w:val="18"/>
          <w:szCs w:val="18"/>
          <w:lang w:val="en-US"/>
        </w:rPr>
        <w:t xml:space="preserve">identify </w:t>
      </w:r>
      <w:r w:rsidRPr="00DD57AD">
        <w:rPr>
          <w:rFonts w:ascii="Verdana" w:eastAsia="Times New Roman" w:hAnsi="Verdana" w:cs="Helvetica"/>
          <w:color w:val="000000"/>
          <w:sz w:val="18"/>
          <w:szCs w:val="18"/>
          <w:lang w:val="en-US"/>
        </w:rPr>
        <w:t>synergies between Partnerships and raise organisational issues which the Commission and Member States could facilitate. </w:t>
      </w:r>
    </w:p>
    <w:p w:rsidR="00DD57AD" w:rsidRDefault="00DD57AD" w:rsidP="00097799">
      <w:pPr>
        <w:pStyle w:val="Lijstalinea"/>
        <w:shd w:val="clear" w:color="auto" w:fill="FFFFFF"/>
        <w:spacing w:line="240" w:lineRule="auto"/>
        <w:ind w:left="360"/>
        <w:rPr>
          <w:rFonts w:ascii="Verdana" w:eastAsia="Times New Roman" w:hAnsi="Verdana" w:cs="Helvetica"/>
          <w:color w:val="000000"/>
          <w:sz w:val="18"/>
          <w:szCs w:val="18"/>
          <w:lang w:val="en-US"/>
        </w:rPr>
      </w:pPr>
    </w:p>
    <w:p w:rsidR="00A226EE" w:rsidRPr="00DD57AD" w:rsidRDefault="00A226EE" w:rsidP="00097799">
      <w:pPr>
        <w:pStyle w:val="Lijstalinea"/>
        <w:shd w:val="clear" w:color="auto" w:fill="FFFFFF"/>
        <w:spacing w:line="240" w:lineRule="auto"/>
        <w:ind w:left="360"/>
        <w:rPr>
          <w:rFonts w:ascii="Verdana" w:eastAsia="Times New Roman" w:hAnsi="Verdana" w:cs="Helvetica"/>
          <w:i/>
          <w:color w:val="000000"/>
          <w:sz w:val="18"/>
          <w:szCs w:val="18"/>
          <w:lang w:val="en-US"/>
        </w:rPr>
      </w:pPr>
      <w:r w:rsidRPr="00A226EE">
        <w:rPr>
          <w:rFonts w:ascii="Verdana" w:eastAsia="Times New Roman" w:hAnsi="Verdana" w:cs="Helvetica"/>
          <w:color w:val="000000"/>
          <w:sz w:val="18"/>
          <w:szCs w:val="18"/>
          <w:lang w:val="en-US"/>
        </w:rPr>
        <w:t xml:space="preserve">Also, the Commission will facilitate a yearly gathering where all partners of the </w:t>
      </w:r>
      <w:r w:rsidR="00DE4548">
        <w:rPr>
          <w:rFonts w:ascii="Verdana" w:eastAsia="Times New Roman" w:hAnsi="Verdana" w:cs="Helvetica"/>
          <w:color w:val="000000"/>
          <w:sz w:val="18"/>
          <w:szCs w:val="18"/>
          <w:lang w:val="en-US"/>
        </w:rPr>
        <w:t>P</w:t>
      </w:r>
      <w:r w:rsidR="00DE4548" w:rsidRPr="00A226EE">
        <w:rPr>
          <w:rFonts w:ascii="Verdana" w:eastAsia="Times New Roman" w:hAnsi="Verdana" w:cs="Helvetica"/>
          <w:color w:val="000000"/>
          <w:sz w:val="18"/>
          <w:szCs w:val="18"/>
          <w:lang w:val="en-US"/>
        </w:rPr>
        <w:t xml:space="preserve">artnerships </w:t>
      </w:r>
      <w:r w:rsidRPr="00A226EE">
        <w:rPr>
          <w:rFonts w:ascii="Verdana" w:eastAsia="Times New Roman" w:hAnsi="Verdana" w:cs="Helvetica"/>
          <w:color w:val="000000"/>
          <w:sz w:val="18"/>
          <w:szCs w:val="18"/>
          <w:lang w:val="en-US"/>
        </w:rPr>
        <w:t>and others interested in the EU Urban Agenda will meet to exchange views and to network.  </w:t>
      </w:r>
    </w:p>
    <w:p w:rsidR="00DD57AD" w:rsidRPr="00DD57AD" w:rsidRDefault="00DD57AD" w:rsidP="00097799">
      <w:pPr>
        <w:pStyle w:val="Lijstalinea"/>
        <w:shd w:val="clear" w:color="auto" w:fill="FFFFFF"/>
        <w:spacing w:line="240" w:lineRule="auto"/>
        <w:ind w:left="360"/>
        <w:rPr>
          <w:rFonts w:ascii="Verdana" w:eastAsia="Times New Roman" w:hAnsi="Verdana" w:cs="Helvetica"/>
          <w:color w:val="000000"/>
          <w:sz w:val="18"/>
          <w:szCs w:val="18"/>
          <w:lang w:val="en-US"/>
        </w:rPr>
      </w:pPr>
    </w:p>
    <w:p w:rsidR="00DD57AD" w:rsidRDefault="00A226EE" w:rsidP="00097799">
      <w:pPr>
        <w:pStyle w:val="Lijstalinea"/>
        <w:numPr>
          <w:ilvl w:val="0"/>
          <w:numId w:val="7"/>
        </w:numPr>
        <w:shd w:val="clear" w:color="auto" w:fill="FFFFFF"/>
        <w:spacing w:line="240" w:lineRule="auto"/>
        <w:rPr>
          <w:rFonts w:ascii="Verdana" w:eastAsia="Times New Roman" w:hAnsi="Verdana" w:cs="Helvetica"/>
          <w:color w:val="000000"/>
          <w:sz w:val="18"/>
          <w:szCs w:val="18"/>
          <w:lang w:val="en-US"/>
        </w:rPr>
      </w:pPr>
      <w:r w:rsidRPr="00DD57AD">
        <w:rPr>
          <w:rFonts w:ascii="Verdana" w:eastAsia="Times New Roman" w:hAnsi="Verdana" w:cs="Helvetica"/>
          <w:color w:val="000000"/>
          <w:sz w:val="18"/>
          <w:szCs w:val="18"/>
          <w:u w:val="single"/>
          <w:lang w:val="en-US"/>
        </w:rPr>
        <w:t>Website</w:t>
      </w:r>
      <w:r w:rsidRPr="00DD57AD">
        <w:rPr>
          <w:rFonts w:ascii="Verdana" w:eastAsia="Times New Roman" w:hAnsi="Verdana" w:cs="Helvetica"/>
          <w:color w:val="000000"/>
          <w:sz w:val="18"/>
          <w:szCs w:val="18"/>
          <w:lang w:val="en-US"/>
        </w:rPr>
        <w:t xml:space="preserve">: A website </w:t>
      </w:r>
      <w:r w:rsidR="00383C89">
        <w:rPr>
          <w:rFonts w:ascii="Verdana" w:eastAsia="Times New Roman" w:hAnsi="Verdana" w:cs="Helvetica"/>
          <w:color w:val="000000"/>
          <w:sz w:val="18"/>
          <w:szCs w:val="18"/>
          <w:lang w:val="en-US"/>
        </w:rPr>
        <w:t>will be</w:t>
      </w:r>
      <w:r w:rsidRPr="00DD57AD">
        <w:rPr>
          <w:rFonts w:ascii="Verdana" w:eastAsia="Times New Roman" w:hAnsi="Verdana" w:cs="Helvetica"/>
          <w:color w:val="000000"/>
          <w:sz w:val="18"/>
          <w:szCs w:val="18"/>
          <w:lang w:val="en-US"/>
        </w:rPr>
        <w:t xml:space="preserve"> created where general information on the EU Urban Agenda can be found as well as information on each </w:t>
      </w:r>
      <w:r w:rsidR="00DE4548">
        <w:rPr>
          <w:rFonts w:ascii="Verdana" w:eastAsia="Times New Roman" w:hAnsi="Verdana" w:cs="Helvetica"/>
          <w:color w:val="000000"/>
          <w:sz w:val="18"/>
          <w:szCs w:val="18"/>
          <w:lang w:val="en-US"/>
        </w:rPr>
        <w:t>P</w:t>
      </w:r>
      <w:r w:rsidR="00DE4548" w:rsidRPr="00DD57AD">
        <w:rPr>
          <w:rFonts w:ascii="Verdana" w:eastAsia="Times New Roman" w:hAnsi="Verdana" w:cs="Helvetica"/>
          <w:color w:val="000000"/>
          <w:sz w:val="18"/>
          <w:szCs w:val="18"/>
          <w:lang w:val="en-US"/>
        </w:rPr>
        <w:t>artnership</w:t>
      </w:r>
      <w:r w:rsidR="00383C89">
        <w:rPr>
          <w:rFonts w:ascii="Verdana" w:eastAsia="Times New Roman" w:hAnsi="Verdana" w:cs="Helvetica"/>
          <w:color w:val="000000"/>
          <w:sz w:val="18"/>
          <w:szCs w:val="18"/>
          <w:lang w:val="en-US"/>
        </w:rPr>
        <w:t>, like</w:t>
      </w:r>
      <w:r w:rsidRPr="00DD57AD">
        <w:rPr>
          <w:rFonts w:ascii="Verdana" w:eastAsia="Times New Roman" w:hAnsi="Verdana" w:cs="Helvetica"/>
          <w:color w:val="000000"/>
          <w:sz w:val="18"/>
          <w:szCs w:val="18"/>
          <w:lang w:val="en-US"/>
        </w:rPr>
        <w:t xml:space="preserve"> participating partners, working documents, gatherings, outcomes of actions, news, dates of meetings, etc. </w:t>
      </w:r>
      <w:r w:rsidR="00383C89">
        <w:rPr>
          <w:rFonts w:ascii="Verdana" w:eastAsia="Times New Roman" w:hAnsi="Verdana" w:cs="Helvetica"/>
          <w:color w:val="000000"/>
          <w:sz w:val="18"/>
          <w:szCs w:val="18"/>
          <w:lang w:val="en-US"/>
        </w:rPr>
        <w:br/>
        <w:t>I</w:t>
      </w:r>
      <w:r w:rsidRPr="00DD57AD">
        <w:rPr>
          <w:rFonts w:ascii="Verdana" w:eastAsia="Times New Roman" w:hAnsi="Verdana" w:cs="Helvetica"/>
          <w:color w:val="000000"/>
          <w:sz w:val="18"/>
          <w:szCs w:val="18"/>
          <w:lang w:val="en-US"/>
        </w:rPr>
        <w:t>t is imperative that each Partnership keeps this website up to date</w:t>
      </w:r>
      <w:r w:rsidR="00383C89">
        <w:rPr>
          <w:rFonts w:ascii="Verdana" w:eastAsia="Times New Roman" w:hAnsi="Verdana" w:cs="Helvetica"/>
          <w:color w:val="000000"/>
          <w:sz w:val="18"/>
          <w:szCs w:val="18"/>
          <w:lang w:val="en-US"/>
        </w:rPr>
        <w:t xml:space="preserve"> to guarantee transparency</w:t>
      </w:r>
      <w:r w:rsidRPr="00DD57AD">
        <w:rPr>
          <w:rFonts w:ascii="Verdana" w:eastAsia="Times New Roman" w:hAnsi="Verdana" w:cs="Helvetica"/>
          <w:color w:val="000000"/>
          <w:sz w:val="18"/>
          <w:szCs w:val="18"/>
          <w:lang w:val="en-US"/>
        </w:rPr>
        <w:t>. </w:t>
      </w:r>
    </w:p>
    <w:p w:rsidR="00DD57AD" w:rsidRPr="00DD57AD" w:rsidRDefault="00DD57AD" w:rsidP="00097799">
      <w:pPr>
        <w:pStyle w:val="Lijstalinea"/>
        <w:shd w:val="clear" w:color="auto" w:fill="FFFFFF"/>
        <w:spacing w:line="240" w:lineRule="auto"/>
        <w:ind w:left="360"/>
        <w:rPr>
          <w:rFonts w:ascii="Verdana" w:eastAsia="Times New Roman" w:hAnsi="Verdana" w:cs="Helvetica"/>
          <w:color w:val="000000"/>
          <w:sz w:val="18"/>
          <w:szCs w:val="18"/>
          <w:lang w:val="en-US"/>
        </w:rPr>
      </w:pPr>
    </w:p>
    <w:p w:rsidR="0049546C" w:rsidRDefault="00A226EE" w:rsidP="00097799">
      <w:pPr>
        <w:pStyle w:val="Lijstalinea"/>
        <w:numPr>
          <w:ilvl w:val="0"/>
          <w:numId w:val="7"/>
        </w:numPr>
        <w:shd w:val="clear" w:color="auto" w:fill="FFFFFF"/>
        <w:spacing w:line="240" w:lineRule="auto"/>
        <w:rPr>
          <w:rFonts w:ascii="Verdana" w:eastAsia="Times New Roman" w:hAnsi="Verdana" w:cs="Helvetica"/>
          <w:color w:val="000000"/>
          <w:sz w:val="18"/>
          <w:szCs w:val="18"/>
          <w:lang w:val="en-US"/>
        </w:rPr>
      </w:pPr>
      <w:r w:rsidRPr="00DD57AD">
        <w:rPr>
          <w:rFonts w:ascii="Verdana" w:eastAsia="Times New Roman" w:hAnsi="Verdana" w:cs="Helvetica"/>
          <w:color w:val="000000"/>
          <w:sz w:val="18"/>
          <w:szCs w:val="18"/>
          <w:u w:val="single"/>
          <w:lang w:val="en-US"/>
        </w:rPr>
        <w:t>Financial support for the Partnerships</w:t>
      </w:r>
      <w:r w:rsidRPr="00DD57AD">
        <w:rPr>
          <w:rFonts w:ascii="Verdana" w:eastAsia="Times New Roman" w:hAnsi="Verdana" w:cs="Helvetica"/>
          <w:color w:val="000000"/>
          <w:sz w:val="18"/>
          <w:szCs w:val="18"/>
          <w:lang w:val="en-US"/>
        </w:rPr>
        <w:t xml:space="preserve">: </w:t>
      </w:r>
      <w:r w:rsidR="00383C89">
        <w:rPr>
          <w:rFonts w:ascii="Verdana" w:eastAsia="Times New Roman" w:hAnsi="Verdana" w:cs="Helvetica"/>
          <w:color w:val="000000"/>
          <w:sz w:val="18"/>
          <w:szCs w:val="18"/>
          <w:lang w:val="en-US"/>
        </w:rPr>
        <w:t>In 2016 t</w:t>
      </w:r>
      <w:r w:rsidRPr="00DD57AD">
        <w:rPr>
          <w:rFonts w:ascii="Verdana" w:eastAsia="Times New Roman" w:hAnsi="Verdana" w:cs="Helvetica"/>
          <w:color w:val="000000"/>
          <w:sz w:val="18"/>
          <w:szCs w:val="18"/>
          <w:lang w:val="en-US"/>
        </w:rPr>
        <w:t xml:space="preserve">he Netherlands </w:t>
      </w:r>
      <w:r w:rsidR="00383C89">
        <w:rPr>
          <w:rFonts w:ascii="Verdana" w:eastAsia="Times New Roman" w:hAnsi="Verdana" w:cs="Helvetica"/>
          <w:color w:val="000000"/>
          <w:sz w:val="18"/>
          <w:szCs w:val="18"/>
          <w:lang w:val="en-US"/>
        </w:rPr>
        <w:t>ha</w:t>
      </w:r>
      <w:r w:rsidRPr="00DD57AD">
        <w:rPr>
          <w:rFonts w:ascii="Verdana" w:eastAsia="Times New Roman" w:hAnsi="Verdana" w:cs="Helvetica"/>
          <w:color w:val="000000"/>
          <w:sz w:val="18"/>
          <w:szCs w:val="18"/>
          <w:lang w:val="en-US"/>
        </w:rPr>
        <w:t xml:space="preserve">s </w:t>
      </w:r>
      <w:r w:rsidR="00DE4548" w:rsidRPr="00DD57AD">
        <w:rPr>
          <w:rFonts w:ascii="Verdana" w:eastAsia="Times New Roman" w:hAnsi="Verdana" w:cs="Helvetica"/>
          <w:color w:val="000000"/>
          <w:sz w:val="18"/>
          <w:szCs w:val="18"/>
          <w:lang w:val="en-US"/>
        </w:rPr>
        <w:t xml:space="preserve">financially </w:t>
      </w:r>
      <w:r w:rsidRPr="00DD57AD">
        <w:rPr>
          <w:rFonts w:ascii="Verdana" w:eastAsia="Times New Roman" w:hAnsi="Verdana" w:cs="Helvetica"/>
          <w:color w:val="000000"/>
          <w:sz w:val="18"/>
          <w:szCs w:val="18"/>
          <w:lang w:val="en-US"/>
        </w:rPr>
        <w:t>support</w:t>
      </w:r>
      <w:r w:rsidR="00383C89">
        <w:rPr>
          <w:rFonts w:ascii="Verdana" w:eastAsia="Times New Roman" w:hAnsi="Verdana" w:cs="Helvetica"/>
          <w:color w:val="000000"/>
          <w:sz w:val="18"/>
          <w:szCs w:val="18"/>
          <w:lang w:val="en-US"/>
        </w:rPr>
        <w:t>ed</w:t>
      </w:r>
      <w:r w:rsidRPr="00DD57AD">
        <w:rPr>
          <w:rFonts w:ascii="Verdana" w:eastAsia="Times New Roman" w:hAnsi="Verdana" w:cs="Helvetica"/>
          <w:color w:val="000000"/>
          <w:sz w:val="18"/>
          <w:szCs w:val="18"/>
          <w:lang w:val="en-US"/>
        </w:rPr>
        <w:t xml:space="preserve"> the first </w:t>
      </w:r>
      <w:r w:rsidR="00DE4548">
        <w:rPr>
          <w:rFonts w:ascii="Verdana" w:eastAsia="Times New Roman" w:hAnsi="Verdana" w:cs="Helvetica"/>
          <w:color w:val="000000"/>
          <w:sz w:val="18"/>
          <w:szCs w:val="18"/>
          <w:lang w:val="en-US"/>
        </w:rPr>
        <w:t>four</w:t>
      </w:r>
      <w:r w:rsidRPr="00DD57AD">
        <w:rPr>
          <w:rFonts w:ascii="Verdana" w:eastAsia="Times New Roman" w:hAnsi="Verdana" w:cs="Helvetica"/>
          <w:color w:val="000000"/>
          <w:sz w:val="18"/>
          <w:szCs w:val="18"/>
          <w:lang w:val="en-US"/>
        </w:rPr>
        <w:t xml:space="preserve"> </w:t>
      </w:r>
      <w:r w:rsidR="00383C89">
        <w:rPr>
          <w:rFonts w:ascii="Verdana" w:eastAsia="Times New Roman" w:hAnsi="Verdana" w:cs="Helvetica"/>
          <w:color w:val="000000"/>
          <w:sz w:val="18"/>
          <w:szCs w:val="18"/>
          <w:lang w:val="en-US"/>
        </w:rPr>
        <w:t xml:space="preserve">(pilot) </w:t>
      </w:r>
      <w:r w:rsidRPr="00DD57AD">
        <w:rPr>
          <w:rFonts w:ascii="Verdana" w:eastAsia="Times New Roman" w:hAnsi="Verdana" w:cs="Helvetica"/>
          <w:color w:val="000000"/>
          <w:sz w:val="18"/>
          <w:szCs w:val="18"/>
          <w:lang w:val="en-US"/>
        </w:rPr>
        <w:t>Partnerships</w:t>
      </w:r>
      <w:r w:rsidR="0034201E" w:rsidRPr="00DD57AD">
        <w:rPr>
          <w:rFonts w:ascii="Verdana" w:eastAsia="Times New Roman" w:hAnsi="Verdana" w:cs="Helvetica"/>
          <w:color w:val="000000"/>
          <w:sz w:val="18"/>
          <w:szCs w:val="18"/>
          <w:lang w:val="en-US"/>
        </w:rPr>
        <w:t>:</w:t>
      </w:r>
      <w:r w:rsidRPr="00DD57AD">
        <w:rPr>
          <w:rFonts w:ascii="Verdana" w:eastAsia="Times New Roman" w:hAnsi="Verdana" w:cs="Helvetica"/>
          <w:color w:val="000000"/>
          <w:sz w:val="18"/>
          <w:szCs w:val="18"/>
          <w:lang w:val="en-US"/>
        </w:rPr>
        <w:t xml:space="preserve"> Air Quality, Housing, Urban Poverty and Inclusion of Migrants and Refugees. </w:t>
      </w:r>
    </w:p>
    <w:p w:rsidR="0049546C" w:rsidRPr="0049546C" w:rsidRDefault="0049546C" w:rsidP="00097799">
      <w:pPr>
        <w:pStyle w:val="Lijstalinea"/>
        <w:spacing w:line="240" w:lineRule="auto"/>
        <w:rPr>
          <w:rFonts w:ascii="Verdana" w:eastAsia="Times New Roman" w:hAnsi="Verdana" w:cs="Helvetica"/>
          <w:color w:val="000000"/>
          <w:sz w:val="18"/>
          <w:szCs w:val="18"/>
          <w:lang w:val="en-US"/>
        </w:rPr>
      </w:pPr>
    </w:p>
    <w:p w:rsidR="00DD57AD" w:rsidRDefault="0034201E" w:rsidP="00097799">
      <w:pPr>
        <w:pStyle w:val="Lijstalinea"/>
        <w:shd w:val="clear" w:color="auto" w:fill="FFFFFF"/>
        <w:spacing w:line="240" w:lineRule="auto"/>
        <w:ind w:left="360"/>
        <w:rPr>
          <w:rFonts w:ascii="Verdana" w:eastAsia="Times New Roman" w:hAnsi="Verdana" w:cs="Helvetica"/>
          <w:color w:val="000000"/>
          <w:sz w:val="18"/>
          <w:szCs w:val="18"/>
          <w:lang w:val="en-US"/>
        </w:rPr>
      </w:pPr>
      <w:r w:rsidRPr="00DD57AD">
        <w:rPr>
          <w:rFonts w:ascii="Verdana" w:eastAsia="Times New Roman" w:hAnsi="Verdana" w:cs="Helvetica"/>
          <w:color w:val="000000"/>
          <w:sz w:val="18"/>
          <w:szCs w:val="18"/>
          <w:lang w:val="en-US"/>
        </w:rPr>
        <w:t>The Netherlands reserved € 50.000,-  for ea</w:t>
      </w:r>
      <w:r w:rsidR="00A226EE" w:rsidRPr="00DD57AD">
        <w:rPr>
          <w:rFonts w:ascii="Verdana" w:eastAsia="Times New Roman" w:hAnsi="Verdana" w:cs="Helvetica"/>
          <w:color w:val="000000"/>
          <w:sz w:val="18"/>
          <w:szCs w:val="18"/>
          <w:lang w:val="en-US"/>
        </w:rPr>
        <w:t>ch partnership to support the work of the</w:t>
      </w:r>
      <w:r w:rsidR="00F03A38">
        <w:rPr>
          <w:rFonts w:ascii="Verdana" w:eastAsia="Times New Roman" w:hAnsi="Verdana" w:cs="Helvetica"/>
          <w:color w:val="000000"/>
          <w:sz w:val="18"/>
          <w:szCs w:val="18"/>
          <w:lang w:val="en-US"/>
        </w:rPr>
        <w:t xml:space="preserve"> pilot</w:t>
      </w:r>
      <w:r w:rsidR="00A226EE" w:rsidRPr="00DD57AD">
        <w:rPr>
          <w:rFonts w:ascii="Verdana" w:eastAsia="Times New Roman" w:hAnsi="Verdana" w:cs="Helvetica"/>
          <w:color w:val="000000"/>
          <w:sz w:val="18"/>
          <w:szCs w:val="18"/>
          <w:lang w:val="en-US"/>
        </w:rPr>
        <w:t xml:space="preserve"> </w:t>
      </w:r>
      <w:r w:rsidR="00DE4548">
        <w:rPr>
          <w:rFonts w:ascii="Verdana" w:eastAsia="Times New Roman" w:hAnsi="Verdana" w:cs="Helvetica"/>
          <w:color w:val="000000"/>
          <w:sz w:val="18"/>
          <w:szCs w:val="18"/>
          <w:lang w:val="en-US"/>
        </w:rPr>
        <w:t>P</w:t>
      </w:r>
      <w:r w:rsidR="00DE4548" w:rsidRPr="00DD57AD">
        <w:rPr>
          <w:rFonts w:ascii="Verdana" w:eastAsia="Times New Roman" w:hAnsi="Verdana" w:cs="Helvetica"/>
          <w:color w:val="000000"/>
          <w:sz w:val="18"/>
          <w:szCs w:val="18"/>
          <w:lang w:val="en-US"/>
        </w:rPr>
        <w:t xml:space="preserve">artnership </w:t>
      </w:r>
      <w:r w:rsidRPr="00DD57AD">
        <w:rPr>
          <w:rFonts w:ascii="Verdana" w:eastAsia="Times New Roman" w:hAnsi="Verdana" w:cs="Helvetica"/>
          <w:color w:val="000000"/>
          <w:sz w:val="18"/>
          <w:szCs w:val="18"/>
          <w:lang w:val="en-US"/>
        </w:rPr>
        <w:t>(</w:t>
      </w:r>
      <w:r w:rsidR="00A226EE" w:rsidRPr="00DD57AD">
        <w:rPr>
          <w:rFonts w:ascii="Verdana" w:eastAsia="Times New Roman" w:hAnsi="Verdana" w:cs="Helvetica"/>
          <w:color w:val="000000"/>
          <w:sz w:val="18"/>
          <w:szCs w:val="18"/>
          <w:lang w:val="en-US"/>
        </w:rPr>
        <w:t>for example hiring of experts, conducting research</w:t>
      </w:r>
      <w:r w:rsidR="00F03A38">
        <w:rPr>
          <w:rFonts w:ascii="Verdana" w:eastAsia="Times New Roman" w:hAnsi="Verdana" w:cs="Helvetica"/>
          <w:color w:val="000000"/>
          <w:sz w:val="18"/>
          <w:szCs w:val="18"/>
          <w:lang w:val="en-US"/>
        </w:rPr>
        <w:t xml:space="preserve"> </w:t>
      </w:r>
      <w:proofErr w:type="spellStart"/>
      <w:r w:rsidR="00F03A38">
        <w:rPr>
          <w:rFonts w:ascii="Verdana" w:eastAsia="Times New Roman" w:hAnsi="Verdana" w:cs="Helvetica"/>
          <w:color w:val="000000"/>
          <w:sz w:val="18"/>
          <w:szCs w:val="18"/>
          <w:lang w:val="en-US"/>
        </w:rPr>
        <w:t>a.o</w:t>
      </w:r>
      <w:proofErr w:type="spellEnd"/>
      <w:r w:rsidR="00F03A38">
        <w:rPr>
          <w:rFonts w:ascii="Verdana" w:eastAsia="Times New Roman" w:hAnsi="Verdana" w:cs="Helvetica"/>
          <w:color w:val="000000"/>
          <w:sz w:val="18"/>
          <w:szCs w:val="18"/>
          <w:lang w:val="en-US"/>
        </w:rPr>
        <w:t>.</w:t>
      </w:r>
      <w:r w:rsidRPr="00DD57AD">
        <w:rPr>
          <w:rFonts w:ascii="Verdana" w:eastAsia="Times New Roman" w:hAnsi="Verdana" w:cs="Helvetica"/>
          <w:color w:val="000000"/>
          <w:sz w:val="18"/>
          <w:szCs w:val="18"/>
          <w:lang w:val="en-US"/>
        </w:rPr>
        <w:t>)</w:t>
      </w:r>
      <w:r w:rsidR="00A226EE" w:rsidRPr="00DD57AD">
        <w:rPr>
          <w:rFonts w:ascii="Verdana" w:eastAsia="Times New Roman" w:hAnsi="Verdana" w:cs="Helvetica"/>
          <w:color w:val="000000"/>
          <w:sz w:val="18"/>
          <w:szCs w:val="18"/>
          <w:lang w:val="en-US"/>
        </w:rPr>
        <w:t xml:space="preserve">. Even though travel and accommodation costs should be at the expense of </w:t>
      </w:r>
      <w:r w:rsidR="008C2518">
        <w:rPr>
          <w:rFonts w:ascii="Verdana" w:eastAsia="Times New Roman" w:hAnsi="Verdana" w:cs="Helvetica"/>
          <w:color w:val="000000"/>
          <w:sz w:val="18"/>
          <w:szCs w:val="18"/>
          <w:lang w:val="en-US"/>
        </w:rPr>
        <w:t xml:space="preserve">each partner itself </w:t>
      </w:r>
      <w:r w:rsidR="00A226EE" w:rsidRPr="00DD57AD">
        <w:rPr>
          <w:rFonts w:ascii="Verdana" w:eastAsia="Times New Roman" w:hAnsi="Verdana" w:cs="Helvetica"/>
          <w:color w:val="000000"/>
          <w:sz w:val="18"/>
          <w:szCs w:val="18"/>
          <w:lang w:val="en-US"/>
        </w:rPr>
        <w:t xml:space="preserve">(i.e. participation should be seen as their normal tasks and is a condition for a real commitment to do some work), </w:t>
      </w:r>
      <w:r w:rsidR="00F03A38">
        <w:rPr>
          <w:rFonts w:ascii="Verdana" w:eastAsia="Times New Roman" w:hAnsi="Verdana" w:cs="Helvetica"/>
          <w:color w:val="000000"/>
          <w:sz w:val="18"/>
          <w:szCs w:val="18"/>
          <w:lang w:val="en-US"/>
        </w:rPr>
        <w:t xml:space="preserve">the pilot Partnerships revealed </w:t>
      </w:r>
      <w:r w:rsidR="00A226EE" w:rsidRPr="00DD57AD">
        <w:rPr>
          <w:rFonts w:ascii="Verdana" w:eastAsia="Times New Roman" w:hAnsi="Verdana" w:cs="Helvetica"/>
          <w:color w:val="000000"/>
          <w:sz w:val="18"/>
          <w:szCs w:val="18"/>
          <w:lang w:val="en-US"/>
        </w:rPr>
        <w:t>that some partners find it difficult to participate without financial reimbursement. If needed</w:t>
      </w:r>
      <w:r w:rsidR="00DE4548">
        <w:rPr>
          <w:rFonts w:ascii="Verdana" w:eastAsia="Times New Roman" w:hAnsi="Verdana" w:cs="Helvetica"/>
          <w:color w:val="000000"/>
          <w:sz w:val="18"/>
          <w:szCs w:val="18"/>
          <w:lang w:val="en-US"/>
        </w:rPr>
        <w:t>,</w:t>
      </w:r>
      <w:r w:rsidR="00A226EE" w:rsidRPr="00DD57AD">
        <w:rPr>
          <w:rFonts w:ascii="Verdana" w:eastAsia="Times New Roman" w:hAnsi="Verdana" w:cs="Helvetica"/>
          <w:color w:val="000000"/>
          <w:sz w:val="18"/>
          <w:szCs w:val="18"/>
          <w:lang w:val="en-US"/>
        </w:rPr>
        <w:t xml:space="preserve"> the supporting budget can be used to (partly)</w:t>
      </w:r>
      <w:r w:rsidRPr="00DD57AD">
        <w:rPr>
          <w:rFonts w:ascii="Verdana" w:eastAsia="Times New Roman" w:hAnsi="Verdana" w:cs="Helvetica"/>
          <w:color w:val="000000"/>
          <w:sz w:val="18"/>
          <w:szCs w:val="18"/>
          <w:lang w:val="en-US"/>
        </w:rPr>
        <w:t xml:space="preserve"> </w:t>
      </w:r>
      <w:r w:rsidR="00A226EE" w:rsidRPr="00DD57AD">
        <w:rPr>
          <w:rFonts w:ascii="Verdana" w:eastAsia="Times New Roman" w:hAnsi="Verdana" w:cs="Helvetica"/>
          <w:color w:val="000000"/>
          <w:sz w:val="18"/>
          <w:szCs w:val="18"/>
          <w:lang w:val="en-US"/>
        </w:rPr>
        <w:t>reimburse partners. </w:t>
      </w:r>
    </w:p>
    <w:p w:rsidR="00DD57AD" w:rsidRDefault="00DD57AD" w:rsidP="00097799">
      <w:pPr>
        <w:pStyle w:val="Lijstalinea"/>
        <w:shd w:val="clear" w:color="auto" w:fill="FFFFFF"/>
        <w:spacing w:line="240" w:lineRule="auto"/>
        <w:ind w:left="360"/>
        <w:rPr>
          <w:rFonts w:ascii="Verdana" w:eastAsia="Times New Roman" w:hAnsi="Verdana" w:cs="Helvetica"/>
          <w:color w:val="000000"/>
          <w:sz w:val="18"/>
          <w:szCs w:val="18"/>
          <w:lang w:val="en-US"/>
        </w:rPr>
      </w:pPr>
    </w:p>
    <w:p w:rsidR="00BE5443" w:rsidRDefault="00BE5443" w:rsidP="00097799">
      <w:pPr>
        <w:pStyle w:val="Lijstalinea"/>
        <w:shd w:val="clear" w:color="auto" w:fill="FFFFFF"/>
        <w:spacing w:line="240" w:lineRule="auto"/>
        <w:ind w:left="360"/>
        <w:rPr>
          <w:rFonts w:ascii="Verdana" w:eastAsia="Times New Roman" w:hAnsi="Verdana" w:cs="Helvetica"/>
          <w:color w:val="000000"/>
          <w:sz w:val="18"/>
          <w:szCs w:val="18"/>
          <w:lang w:val="en-US"/>
        </w:rPr>
      </w:pPr>
      <w:r>
        <w:rPr>
          <w:rFonts w:ascii="Verdana" w:hAnsi="Verdana"/>
          <w:sz w:val="18"/>
          <w:szCs w:val="18"/>
          <w:lang w:val="en-GB"/>
        </w:rPr>
        <w:t xml:space="preserve">In the Pact of Amsterdam the Member States call upon the European </w:t>
      </w:r>
      <w:r w:rsidR="00EE1640">
        <w:rPr>
          <w:rFonts w:ascii="Verdana" w:hAnsi="Verdana"/>
          <w:sz w:val="18"/>
          <w:szCs w:val="18"/>
          <w:lang w:val="en-GB"/>
        </w:rPr>
        <w:t>Commission to finance</w:t>
      </w:r>
      <w:r>
        <w:rPr>
          <w:rFonts w:ascii="Verdana" w:hAnsi="Verdana"/>
          <w:sz w:val="18"/>
          <w:szCs w:val="18"/>
          <w:lang w:val="en-GB"/>
        </w:rPr>
        <w:t xml:space="preserve"> te</w:t>
      </w:r>
      <w:r w:rsidRPr="00991068">
        <w:rPr>
          <w:rFonts w:ascii="Verdana" w:hAnsi="Verdana"/>
          <w:sz w:val="18"/>
          <w:szCs w:val="18"/>
          <w:lang w:val="en-GB"/>
        </w:rPr>
        <w:t xml:space="preserve">chnical assistance </w:t>
      </w:r>
      <w:r>
        <w:rPr>
          <w:rFonts w:ascii="Verdana" w:hAnsi="Verdana"/>
          <w:sz w:val="18"/>
          <w:szCs w:val="18"/>
          <w:lang w:val="en-GB"/>
        </w:rPr>
        <w:t xml:space="preserve">to the </w:t>
      </w:r>
      <w:r w:rsidRPr="00991068">
        <w:rPr>
          <w:rFonts w:ascii="Verdana" w:hAnsi="Verdana"/>
          <w:sz w:val="18"/>
          <w:szCs w:val="18"/>
          <w:lang w:val="en-GB"/>
        </w:rPr>
        <w:t xml:space="preserve">Partnerships </w:t>
      </w:r>
      <w:r w:rsidR="00EE1640">
        <w:rPr>
          <w:rFonts w:ascii="Verdana" w:hAnsi="Verdana"/>
          <w:sz w:val="18"/>
          <w:szCs w:val="18"/>
          <w:lang w:val="en-GB"/>
        </w:rPr>
        <w:t>from</w:t>
      </w:r>
      <w:r w:rsidRPr="00991068">
        <w:rPr>
          <w:rFonts w:ascii="Verdana" w:hAnsi="Verdana"/>
          <w:sz w:val="18"/>
          <w:szCs w:val="18"/>
          <w:lang w:val="en-GB"/>
        </w:rPr>
        <w:t xml:space="preserve"> 1</w:t>
      </w:r>
      <w:r w:rsidR="00DE4548">
        <w:rPr>
          <w:rFonts w:ascii="Verdana" w:hAnsi="Verdana"/>
          <w:sz w:val="18"/>
          <w:szCs w:val="18"/>
          <w:lang w:val="en-GB"/>
        </w:rPr>
        <w:t xml:space="preserve"> </w:t>
      </w:r>
      <w:r w:rsidRPr="00991068">
        <w:rPr>
          <w:rFonts w:ascii="Verdana" w:hAnsi="Verdana"/>
          <w:sz w:val="18"/>
          <w:szCs w:val="18"/>
          <w:lang w:val="en-GB"/>
        </w:rPr>
        <w:t>January 2017</w:t>
      </w:r>
      <w:r>
        <w:rPr>
          <w:rFonts w:ascii="Verdana" w:hAnsi="Verdana"/>
          <w:sz w:val="18"/>
          <w:szCs w:val="18"/>
          <w:lang w:val="en-GB"/>
        </w:rPr>
        <w:t xml:space="preserve"> onwards.</w:t>
      </w:r>
    </w:p>
    <w:p w:rsidR="00A226EE" w:rsidRPr="00DD57AD" w:rsidRDefault="00A226EE" w:rsidP="00097799">
      <w:pPr>
        <w:shd w:val="clear" w:color="auto" w:fill="FFFFFF"/>
        <w:spacing w:line="240" w:lineRule="auto"/>
        <w:ind w:left="360"/>
        <w:rPr>
          <w:rFonts w:ascii="Verdana" w:eastAsia="Times New Roman" w:hAnsi="Verdana" w:cs="Helvetica"/>
          <w:color w:val="000000"/>
          <w:sz w:val="18"/>
          <w:szCs w:val="18"/>
          <w:lang w:val="en-US"/>
        </w:rPr>
      </w:pPr>
      <w:r w:rsidRPr="00DD57AD">
        <w:rPr>
          <w:rFonts w:ascii="Verdana" w:eastAsia="Times New Roman" w:hAnsi="Verdana" w:cs="Helvetica"/>
          <w:color w:val="000000"/>
          <w:sz w:val="18"/>
          <w:szCs w:val="18"/>
          <w:lang w:val="en-US"/>
        </w:rPr>
        <w:t xml:space="preserve">Some actions in the Action Plan may require funding. Therefore, it is important that the members of the Partnerships decide on their funding sources and maintain close links with the Funding Authorities (banks, public authorities, EIB, Managing Authorities of ESIF etc.) and keep a close eye on EU calls for projects such as </w:t>
      </w:r>
      <w:r w:rsidR="004A4E79" w:rsidRPr="00DD57AD">
        <w:rPr>
          <w:rFonts w:ascii="Verdana" w:eastAsia="Times New Roman" w:hAnsi="Verdana" w:cs="Helvetica"/>
          <w:color w:val="000000"/>
          <w:sz w:val="18"/>
          <w:szCs w:val="18"/>
          <w:lang w:val="en-US"/>
        </w:rPr>
        <w:t xml:space="preserve">under </w:t>
      </w:r>
      <w:r w:rsidRPr="00DD57AD">
        <w:rPr>
          <w:rFonts w:ascii="Verdana" w:eastAsia="Times New Roman" w:hAnsi="Verdana" w:cs="Helvetica"/>
          <w:color w:val="000000"/>
          <w:sz w:val="18"/>
          <w:szCs w:val="18"/>
          <w:lang w:val="en-US"/>
        </w:rPr>
        <w:t>the Urban Innovative Actions</w:t>
      </w:r>
      <w:r w:rsidR="004A4E79" w:rsidRPr="00DD57AD">
        <w:rPr>
          <w:rFonts w:ascii="Verdana" w:eastAsia="Times New Roman" w:hAnsi="Verdana" w:cs="Helvetica"/>
          <w:color w:val="000000"/>
          <w:sz w:val="18"/>
          <w:szCs w:val="18"/>
          <w:lang w:val="en-US"/>
        </w:rPr>
        <w:t xml:space="preserve">, the European Structural and Investment Funds </w:t>
      </w:r>
      <w:r w:rsidR="00C37158" w:rsidRPr="00DD57AD">
        <w:rPr>
          <w:rFonts w:ascii="Verdana" w:eastAsia="Times New Roman" w:hAnsi="Verdana" w:cs="Helvetica"/>
          <w:color w:val="000000"/>
          <w:sz w:val="18"/>
          <w:szCs w:val="18"/>
          <w:lang w:val="en-US"/>
        </w:rPr>
        <w:t>etc</w:t>
      </w:r>
      <w:r w:rsidRPr="00DD57AD">
        <w:rPr>
          <w:rFonts w:ascii="Verdana" w:eastAsia="Times New Roman" w:hAnsi="Verdana" w:cs="Helvetica"/>
          <w:color w:val="000000"/>
          <w:sz w:val="18"/>
          <w:szCs w:val="18"/>
          <w:lang w:val="en-US"/>
        </w:rPr>
        <w:t>.  </w:t>
      </w:r>
      <w:r w:rsidR="0034201E" w:rsidRPr="00DD57AD">
        <w:rPr>
          <w:rFonts w:ascii="Verdana" w:eastAsia="Times New Roman" w:hAnsi="Verdana" w:cs="Helvetica"/>
          <w:color w:val="000000"/>
          <w:sz w:val="18"/>
          <w:szCs w:val="18"/>
          <w:lang w:val="en-US"/>
        </w:rPr>
        <w:t xml:space="preserve">If actions in the Action Plan require funding, the way of funding should be described in the Action Plan. </w:t>
      </w:r>
    </w:p>
    <w:p w:rsidR="0092291F" w:rsidRDefault="0092291F" w:rsidP="00097799">
      <w:pPr>
        <w:spacing w:line="240" w:lineRule="auto"/>
        <w:rPr>
          <w:rFonts w:ascii="Verdana" w:hAnsi="Verdana"/>
          <w:b/>
          <w:bCs/>
          <w:sz w:val="18"/>
          <w:szCs w:val="18"/>
          <w:lang w:val="en-GB"/>
        </w:rPr>
      </w:pPr>
    </w:p>
    <w:p w:rsidR="005D65F0" w:rsidRPr="00B8454F" w:rsidRDefault="00CA273E" w:rsidP="00097799">
      <w:pPr>
        <w:spacing w:line="240" w:lineRule="auto"/>
        <w:rPr>
          <w:rFonts w:ascii="Verdana" w:hAnsi="Verdana"/>
          <w:b/>
          <w:bCs/>
          <w:i/>
          <w:sz w:val="18"/>
          <w:szCs w:val="18"/>
          <w:u w:val="single"/>
          <w:lang w:val="en-GB"/>
        </w:rPr>
      </w:pPr>
      <w:r>
        <w:rPr>
          <w:rFonts w:ascii="Verdana" w:hAnsi="Verdana"/>
          <w:b/>
          <w:bCs/>
          <w:i/>
          <w:sz w:val="18"/>
          <w:szCs w:val="18"/>
          <w:u w:val="single"/>
          <w:lang w:val="en-GB"/>
        </w:rPr>
        <w:t>IV CROSS</w:t>
      </w:r>
      <w:r w:rsidR="00B8454F">
        <w:rPr>
          <w:rFonts w:ascii="Verdana" w:hAnsi="Verdana"/>
          <w:b/>
          <w:bCs/>
          <w:i/>
          <w:sz w:val="18"/>
          <w:szCs w:val="18"/>
          <w:u w:val="single"/>
          <w:lang w:val="en-GB"/>
        </w:rPr>
        <w:t>CUTTING ISSUES</w:t>
      </w:r>
    </w:p>
    <w:p w:rsidR="005D65F0" w:rsidRPr="009109BA" w:rsidRDefault="005D65F0" w:rsidP="009109BA">
      <w:pPr>
        <w:spacing w:line="240" w:lineRule="auto"/>
        <w:rPr>
          <w:rFonts w:ascii="Verdana" w:hAnsi="Verdana"/>
          <w:sz w:val="18"/>
          <w:szCs w:val="18"/>
          <w:lang w:val="en-GB"/>
        </w:rPr>
      </w:pPr>
      <w:r w:rsidRPr="005D65F0">
        <w:rPr>
          <w:rFonts w:ascii="Verdana" w:hAnsi="Verdana"/>
          <w:sz w:val="18"/>
          <w:szCs w:val="18"/>
          <w:lang w:val="en-GB"/>
        </w:rPr>
        <w:t>In line with the competences and responsibilities of the different participants and taking into account that the EU does not have competences on these issues, the Partnerships may consider the relevance of cross-cutting issues for the selected priority themes. Partnerships may</w:t>
      </w:r>
      <w:r w:rsidR="00B64784">
        <w:rPr>
          <w:rFonts w:ascii="Verdana" w:hAnsi="Verdana"/>
          <w:sz w:val="18"/>
          <w:szCs w:val="18"/>
          <w:lang w:val="en-GB"/>
        </w:rPr>
        <w:t xml:space="preserve"> consider the following issues</w:t>
      </w:r>
      <w:r w:rsidRPr="005D65F0">
        <w:rPr>
          <w:rFonts w:ascii="Verdana" w:hAnsi="Verdana"/>
          <w:sz w:val="18"/>
          <w:szCs w:val="18"/>
          <w:lang w:val="en-GB"/>
        </w:rPr>
        <w:t>:</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Good urban governance;</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 xml:space="preserve">Governance across administrative boundaries and inter-municipal cooperation: urban-rural, urban-urban and cross-border cooperation; link with territorial development and Territorial Agenda; </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Sound and strategic urban planning (link with regional planning and balanced territorial development);</w:t>
      </w:r>
    </w:p>
    <w:p w:rsidR="005D65F0" w:rsidRPr="002E76C4" w:rsidRDefault="005D65F0" w:rsidP="00097799">
      <w:pPr>
        <w:pStyle w:val="Lijstalinea"/>
        <w:numPr>
          <w:ilvl w:val="1"/>
          <w:numId w:val="12"/>
        </w:numPr>
        <w:spacing w:line="240" w:lineRule="auto"/>
        <w:ind w:right="-426"/>
        <w:rPr>
          <w:rFonts w:ascii="Verdana" w:hAnsi="Verdana"/>
          <w:sz w:val="18"/>
          <w:szCs w:val="18"/>
          <w:lang w:val="en-GB"/>
        </w:rPr>
      </w:pPr>
      <w:proofErr w:type="spellStart"/>
      <w:r w:rsidRPr="002E76C4">
        <w:rPr>
          <w:rFonts w:ascii="Verdana" w:hAnsi="Verdana"/>
          <w:sz w:val="18"/>
          <w:szCs w:val="18"/>
        </w:rPr>
        <w:t>Integrated</w:t>
      </w:r>
      <w:proofErr w:type="spellEnd"/>
      <w:r w:rsidRPr="002E76C4">
        <w:rPr>
          <w:rFonts w:ascii="Verdana" w:hAnsi="Verdana"/>
          <w:sz w:val="18"/>
          <w:szCs w:val="18"/>
        </w:rPr>
        <w:t xml:space="preserve"> </w:t>
      </w:r>
      <w:proofErr w:type="spellStart"/>
      <w:r w:rsidRPr="002E76C4">
        <w:rPr>
          <w:rFonts w:ascii="Verdana" w:hAnsi="Verdana"/>
          <w:sz w:val="18"/>
          <w:szCs w:val="18"/>
        </w:rPr>
        <w:t>approach</w:t>
      </w:r>
      <w:proofErr w:type="spellEnd"/>
      <w:r w:rsidRPr="002E76C4">
        <w:rPr>
          <w:rFonts w:ascii="Verdana" w:hAnsi="Verdana"/>
          <w:sz w:val="18"/>
          <w:szCs w:val="18"/>
        </w:rPr>
        <w:t>;</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Innovative approaches;</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Impact on societal change, including behavioural change;</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lastRenderedPageBreak/>
        <w:t xml:space="preserve">Challenges and opportunities of small- and medium-sized </w:t>
      </w:r>
      <w:r>
        <w:rPr>
          <w:rFonts w:ascii="Verdana" w:hAnsi="Verdana"/>
          <w:sz w:val="18"/>
          <w:szCs w:val="18"/>
          <w:lang w:val="en-GB"/>
        </w:rPr>
        <w:t>Urban Areas</w:t>
      </w:r>
      <w:r w:rsidRPr="002E76C4">
        <w:rPr>
          <w:rFonts w:ascii="Verdana" w:hAnsi="Verdana"/>
          <w:sz w:val="18"/>
          <w:szCs w:val="18"/>
          <w:lang w:val="en-GB"/>
        </w:rPr>
        <w:t>;</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Urban regeneration;</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Adaptation to demographic change;</w:t>
      </w:r>
    </w:p>
    <w:p w:rsidR="005D65F0"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Availability and quality of public services of general interest;</w:t>
      </w:r>
    </w:p>
    <w:p w:rsidR="005D65F0" w:rsidRPr="002E76C4" w:rsidRDefault="005D65F0" w:rsidP="00097799">
      <w:pPr>
        <w:pStyle w:val="Lijstalinea"/>
        <w:numPr>
          <w:ilvl w:val="1"/>
          <w:numId w:val="12"/>
        </w:numPr>
        <w:spacing w:line="240" w:lineRule="auto"/>
        <w:ind w:right="-426"/>
        <w:rPr>
          <w:rFonts w:ascii="Verdana" w:hAnsi="Verdana"/>
          <w:sz w:val="18"/>
          <w:szCs w:val="18"/>
          <w:lang w:val="en-GB"/>
        </w:rPr>
      </w:pPr>
      <w:r w:rsidRPr="002E76C4">
        <w:rPr>
          <w:rFonts w:ascii="Verdana" w:hAnsi="Verdana"/>
          <w:sz w:val="18"/>
          <w:szCs w:val="18"/>
          <w:lang w:val="en-GB"/>
        </w:rPr>
        <w:t>International dimension: link with</w:t>
      </w:r>
      <w:r w:rsidR="008B736F">
        <w:rPr>
          <w:rFonts w:ascii="Verdana" w:hAnsi="Verdana"/>
          <w:sz w:val="18"/>
          <w:szCs w:val="18"/>
          <w:lang w:val="en-GB"/>
        </w:rPr>
        <w:t xml:space="preserve"> </w:t>
      </w:r>
      <w:r w:rsidR="008B736F" w:rsidRPr="002E76C4">
        <w:rPr>
          <w:rFonts w:ascii="Verdana" w:hAnsi="Verdana"/>
          <w:sz w:val="18"/>
          <w:szCs w:val="18"/>
          <w:lang w:val="en-GB"/>
        </w:rPr>
        <w:t>the New Urban Agenda (Habitat III)</w:t>
      </w:r>
      <w:r w:rsidR="008B736F">
        <w:rPr>
          <w:rFonts w:ascii="Verdana" w:hAnsi="Verdana"/>
          <w:sz w:val="18"/>
          <w:szCs w:val="18"/>
          <w:lang w:val="en-GB"/>
        </w:rPr>
        <w:t>,</w:t>
      </w:r>
      <w:r w:rsidR="008B736F" w:rsidRPr="002E76C4">
        <w:rPr>
          <w:rFonts w:ascii="Verdana" w:hAnsi="Verdana"/>
          <w:sz w:val="18"/>
          <w:szCs w:val="18"/>
          <w:lang w:val="en-GB"/>
        </w:rPr>
        <w:t xml:space="preserve"> </w:t>
      </w:r>
      <w:r w:rsidRPr="002E76C4">
        <w:rPr>
          <w:rFonts w:ascii="Verdana" w:hAnsi="Verdana"/>
          <w:sz w:val="18"/>
          <w:szCs w:val="18"/>
          <w:lang w:val="en-GB"/>
        </w:rPr>
        <w:t xml:space="preserve"> the Sustainable Development Goals (SDGs) of the UN and the climate Paris Agreement (COP21).</w:t>
      </w:r>
    </w:p>
    <w:p w:rsidR="007666AE" w:rsidRPr="0092291F" w:rsidRDefault="007666AE" w:rsidP="00097799">
      <w:pPr>
        <w:spacing w:line="240" w:lineRule="auto"/>
        <w:rPr>
          <w:rFonts w:ascii="Verdana" w:hAnsi="Verdana"/>
          <w:sz w:val="18"/>
          <w:szCs w:val="18"/>
          <w:lang w:val="en-GB"/>
        </w:rPr>
      </w:pPr>
    </w:p>
    <w:sectPr w:rsidR="007666AE" w:rsidRPr="0092291F"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F6" w:rsidRDefault="004F18F6" w:rsidP="000509E8">
      <w:pPr>
        <w:spacing w:after="0" w:line="240" w:lineRule="auto"/>
      </w:pPr>
      <w:r>
        <w:separator/>
      </w:r>
    </w:p>
  </w:endnote>
  <w:endnote w:type="continuationSeparator" w:id="0">
    <w:p w:rsidR="004F18F6" w:rsidRDefault="004F18F6" w:rsidP="00050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F6" w:rsidRDefault="004F18F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5729"/>
      <w:docPartObj>
        <w:docPartGallery w:val="Page Numbers (Bottom of Page)"/>
        <w:docPartUnique/>
      </w:docPartObj>
    </w:sdtPr>
    <w:sdtContent>
      <w:p w:rsidR="004F18F6" w:rsidRDefault="00C32456">
        <w:pPr>
          <w:pStyle w:val="Voettekst"/>
        </w:pPr>
        <w:fldSimple w:instr=" PAGE   \* MERGEFORMAT ">
          <w:r w:rsidR="006E1A5A">
            <w:rPr>
              <w:noProof/>
            </w:rPr>
            <w:t>1</w:t>
          </w:r>
        </w:fldSimple>
      </w:p>
    </w:sdtContent>
  </w:sdt>
  <w:p w:rsidR="004F18F6" w:rsidRDefault="004F18F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F6" w:rsidRDefault="004F18F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F6" w:rsidRDefault="004F18F6" w:rsidP="000509E8">
      <w:pPr>
        <w:spacing w:after="0" w:line="240" w:lineRule="auto"/>
      </w:pPr>
      <w:r>
        <w:separator/>
      </w:r>
    </w:p>
  </w:footnote>
  <w:footnote w:type="continuationSeparator" w:id="0">
    <w:p w:rsidR="004F18F6" w:rsidRDefault="004F18F6" w:rsidP="000509E8">
      <w:pPr>
        <w:spacing w:after="0" w:line="240" w:lineRule="auto"/>
      </w:pPr>
      <w:r>
        <w:continuationSeparator/>
      </w:r>
    </w:p>
  </w:footnote>
  <w:footnote w:id="1">
    <w:p w:rsidR="004F18F6" w:rsidRPr="00817AB1" w:rsidRDefault="004F18F6" w:rsidP="000509E8">
      <w:pPr>
        <w:pStyle w:val="Voetnoottekst"/>
        <w:rPr>
          <w:rFonts w:cstheme="minorHAnsi"/>
          <w:sz w:val="16"/>
          <w:szCs w:val="16"/>
          <w:lang w:val="en-GB"/>
        </w:rPr>
      </w:pPr>
      <w:r w:rsidRPr="00817AB1">
        <w:rPr>
          <w:rStyle w:val="Voetnootmarkering"/>
          <w:rFonts w:cstheme="minorHAnsi"/>
          <w:sz w:val="16"/>
          <w:szCs w:val="16"/>
        </w:rPr>
        <w:footnoteRef/>
      </w:r>
      <w:r w:rsidRPr="00817AB1">
        <w:rPr>
          <w:rFonts w:cstheme="minorHAnsi"/>
          <w:sz w:val="16"/>
          <w:szCs w:val="16"/>
          <w:lang w:val="en-GB"/>
        </w:rPr>
        <w:t xml:space="preserve"> Commission Staff Working Document, 27 June 2015 (SWD(2015) 109 final/2)</w:t>
      </w:r>
    </w:p>
  </w:footnote>
  <w:footnote w:id="2">
    <w:p w:rsidR="004F18F6" w:rsidRPr="004E4673" w:rsidRDefault="004F18F6" w:rsidP="00097799">
      <w:pPr>
        <w:spacing w:line="240" w:lineRule="auto"/>
        <w:ind w:right="-426"/>
        <w:rPr>
          <w:rFonts w:cstheme="minorHAnsi"/>
          <w:sz w:val="16"/>
          <w:szCs w:val="16"/>
          <w:lang w:val="en-GB"/>
        </w:rPr>
      </w:pPr>
      <w:r w:rsidRPr="004E4673">
        <w:rPr>
          <w:rStyle w:val="Voetnootmarkering"/>
          <w:rFonts w:cstheme="minorHAnsi"/>
          <w:sz w:val="16"/>
          <w:szCs w:val="16"/>
        </w:rPr>
        <w:footnoteRef/>
      </w:r>
      <w:r w:rsidRPr="004E4673">
        <w:rPr>
          <w:rFonts w:cstheme="minorHAnsi"/>
          <w:sz w:val="16"/>
          <w:szCs w:val="16"/>
          <w:lang w:val="en-GB"/>
        </w:rPr>
        <w:t xml:space="preserve"> </w:t>
      </w:r>
      <w:r>
        <w:rPr>
          <w:rFonts w:cstheme="minorHAnsi"/>
          <w:sz w:val="16"/>
          <w:szCs w:val="16"/>
          <w:lang w:val="en-GB"/>
        </w:rPr>
        <w:t>In line with paragraph 5 of the Pact of Amsterdam, t</w:t>
      </w:r>
      <w:r w:rsidRPr="00332022">
        <w:rPr>
          <w:rFonts w:cstheme="minorHAnsi"/>
          <w:sz w:val="16"/>
          <w:szCs w:val="16"/>
          <w:lang w:val="en-GB"/>
        </w:rPr>
        <w:t>he EU Urban Agenda will make use of existing European platforms and programmes.</w:t>
      </w:r>
      <w:r>
        <w:rPr>
          <w:rFonts w:cstheme="minorHAnsi"/>
          <w:sz w:val="16"/>
          <w:szCs w:val="16"/>
          <w:lang w:val="en-GB"/>
        </w:rPr>
        <w:t xml:space="preserve"> </w:t>
      </w:r>
      <w:r w:rsidRPr="004E4673">
        <w:rPr>
          <w:rFonts w:cstheme="minorHAnsi"/>
          <w:sz w:val="16"/>
          <w:szCs w:val="16"/>
          <w:lang w:val="en-GB"/>
        </w:rPr>
        <w:t xml:space="preserve">The EU Urban Agenda Board will </w:t>
      </w:r>
      <w:r>
        <w:rPr>
          <w:rFonts w:cstheme="minorHAnsi"/>
          <w:sz w:val="16"/>
          <w:szCs w:val="16"/>
          <w:lang w:val="en-GB"/>
        </w:rPr>
        <w:t xml:space="preserve">therefore </w:t>
      </w:r>
      <w:r w:rsidRPr="004E4673">
        <w:rPr>
          <w:rFonts w:cstheme="minorHAnsi"/>
          <w:sz w:val="16"/>
          <w:szCs w:val="16"/>
          <w:lang w:val="en-GB"/>
        </w:rPr>
        <w:t xml:space="preserve">be convened together with the meeting of the Directors General responsible for urban matters. The EU Urban Agenda Board will take place directly before or after the meeting of the Directors General responsible for urban matters  at the same location with the same participants. The only difference is that in addition to the Member States the representatives of the European Commission, the European Parliament, the EU Consultative bodies, </w:t>
      </w:r>
      <w:r>
        <w:rPr>
          <w:rFonts w:cstheme="minorHAnsi"/>
          <w:sz w:val="16"/>
          <w:szCs w:val="16"/>
          <w:lang w:val="en-GB"/>
        </w:rPr>
        <w:t xml:space="preserve"> representatives of </w:t>
      </w:r>
      <w:r w:rsidRPr="004E4673">
        <w:rPr>
          <w:rFonts w:cstheme="minorHAnsi"/>
          <w:sz w:val="16"/>
          <w:szCs w:val="16"/>
          <w:lang w:val="en-GB"/>
        </w:rPr>
        <w:t>Urban authorities (CEMR, EUROCITIES), and stakeholders (EIB, URBACT, ESPON) would become member (not only observers as in the meeting for the Directors General responsible for urban matters).</w:t>
      </w:r>
    </w:p>
  </w:footnote>
  <w:footnote w:id="3">
    <w:p w:rsidR="004F18F6" w:rsidRPr="004E4673" w:rsidRDefault="004F18F6" w:rsidP="00C37158">
      <w:pPr>
        <w:shd w:val="clear" w:color="auto" w:fill="FFFFFF"/>
        <w:spacing w:after="0" w:line="240" w:lineRule="auto"/>
        <w:jc w:val="both"/>
        <w:rPr>
          <w:rFonts w:eastAsia="Times New Roman" w:cstheme="minorHAnsi"/>
          <w:color w:val="000000"/>
          <w:sz w:val="16"/>
          <w:szCs w:val="16"/>
          <w:lang w:val="en-US"/>
        </w:rPr>
      </w:pPr>
      <w:r w:rsidRPr="004E4673">
        <w:rPr>
          <w:rStyle w:val="Voetnootmarkering"/>
          <w:rFonts w:cstheme="minorHAnsi"/>
          <w:sz w:val="16"/>
          <w:szCs w:val="16"/>
        </w:rPr>
        <w:footnoteRef/>
      </w:r>
      <w:r w:rsidRPr="004E4673">
        <w:rPr>
          <w:rFonts w:cstheme="minorHAnsi"/>
          <w:sz w:val="16"/>
          <w:szCs w:val="16"/>
          <w:lang w:val="en-US"/>
        </w:rPr>
        <w:t xml:space="preserve"> </w:t>
      </w:r>
      <w:r w:rsidRPr="004E4673">
        <w:rPr>
          <w:rFonts w:eastAsia="Times New Roman" w:cstheme="minorHAnsi"/>
          <w:color w:val="000000"/>
          <w:sz w:val="16"/>
          <w:szCs w:val="16"/>
          <w:lang w:val="en-US"/>
        </w:rPr>
        <w:t>Balanced geographically and between Commission, Member States, urban areas and other stakeholders. With regards to the urban areas, there should be a representation of both 'bigger' and 'small and medium' cities.</w:t>
      </w:r>
    </w:p>
    <w:p w:rsidR="004F18F6" w:rsidRPr="004E4673" w:rsidRDefault="004F18F6" w:rsidP="00C37158">
      <w:pPr>
        <w:pStyle w:val="Voetnoottekst"/>
        <w:rPr>
          <w:rFonts w:cstheme="minorHAnsi"/>
          <w:sz w:val="16"/>
          <w:szCs w:val="16"/>
          <w:lang w:val="en-US"/>
        </w:rPr>
      </w:pPr>
    </w:p>
  </w:footnote>
  <w:footnote w:id="4">
    <w:p w:rsidR="004F18F6" w:rsidRPr="00A226EE" w:rsidRDefault="004F18F6" w:rsidP="00C37158">
      <w:pPr>
        <w:pStyle w:val="Voetnoottekst"/>
        <w:rPr>
          <w:lang w:val="en-US"/>
        </w:rPr>
      </w:pPr>
      <w:r w:rsidRPr="004E4673">
        <w:rPr>
          <w:rStyle w:val="Voetnootmarkering"/>
          <w:rFonts w:cstheme="minorHAnsi"/>
          <w:sz w:val="16"/>
          <w:szCs w:val="16"/>
        </w:rPr>
        <w:footnoteRef/>
      </w:r>
      <w:r w:rsidRPr="004E4673">
        <w:rPr>
          <w:rFonts w:cstheme="minorHAnsi"/>
          <w:sz w:val="16"/>
          <w:szCs w:val="16"/>
          <w:lang w:val="en-US"/>
        </w:rPr>
        <w:t xml:space="preserve"> </w:t>
      </w:r>
      <w:r w:rsidRPr="004E4673">
        <w:rPr>
          <w:rFonts w:eastAsia="Times New Roman" w:cstheme="minorHAnsi"/>
          <w:color w:val="000000"/>
          <w:sz w:val="16"/>
          <w:szCs w:val="16"/>
          <w:lang w:val="en-US"/>
        </w:rPr>
        <w:t>It should not be the members of the UDG, but persons from the Member State with expertise in the Priority Theme and sufficient authority to take decisions (typically someone from a Ministry which is in charge of the theme concerned).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F6" w:rsidRDefault="004F18F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F6" w:rsidRDefault="004F18F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F6" w:rsidRDefault="004F18F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0DC"/>
    <w:multiLevelType w:val="hybridMultilevel"/>
    <w:tmpl w:val="CCC2A72E"/>
    <w:lvl w:ilvl="0" w:tplc="6C9C02FC">
      <w:start w:val="100"/>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953271"/>
    <w:multiLevelType w:val="hybridMultilevel"/>
    <w:tmpl w:val="CE8C67D0"/>
    <w:lvl w:ilvl="0" w:tplc="C50CDEE6">
      <w:start w:val="500"/>
      <w:numFmt w:val="lowerRoman"/>
      <w:lvlText w:val="%1."/>
      <w:lvlJc w:val="left"/>
      <w:pPr>
        <w:ind w:left="1817" w:hanging="720"/>
      </w:pPr>
      <w:rPr>
        <w:rFonts w:eastAsiaTheme="minorEastAsia" w:cstheme="minorBidi" w:hint="default"/>
        <w:color w:val="auto"/>
      </w:rPr>
    </w:lvl>
    <w:lvl w:ilvl="1" w:tplc="04130019" w:tentative="1">
      <w:start w:val="1"/>
      <w:numFmt w:val="lowerLetter"/>
      <w:lvlText w:val="%2."/>
      <w:lvlJc w:val="left"/>
      <w:pPr>
        <w:ind w:left="2177" w:hanging="360"/>
      </w:pPr>
    </w:lvl>
    <w:lvl w:ilvl="2" w:tplc="0413001B" w:tentative="1">
      <w:start w:val="1"/>
      <w:numFmt w:val="lowerRoman"/>
      <w:lvlText w:val="%3."/>
      <w:lvlJc w:val="right"/>
      <w:pPr>
        <w:ind w:left="2897" w:hanging="180"/>
      </w:pPr>
    </w:lvl>
    <w:lvl w:ilvl="3" w:tplc="0413000F" w:tentative="1">
      <w:start w:val="1"/>
      <w:numFmt w:val="decimal"/>
      <w:lvlText w:val="%4."/>
      <w:lvlJc w:val="left"/>
      <w:pPr>
        <w:ind w:left="3617" w:hanging="360"/>
      </w:pPr>
    </w:lvl>
    <w:lvl w:ilvl="4" w:tplc="04130019" w:tentative="1">
      <w:start w:val="1"/>
      <w:numFmt w:val="lowerLetter"/>
      <w:lvlText w:val="%5."/>
      <w:lvlJc w:val="left"/>
      <w:pPr>
        <w:ind w:left="4337" w:hanging="360"/>
      </w:pPr>
    </w:lvl>
    <w:lvl w:ilvl="5" w:tplc="0413001B" w:tentative="1">
      <w:start w:val="1"/>
      <w:numFmt w:val="lowerRoman"/>
      <w:lvlText w:val="%6."/>
      <w:lvlJc w:val="right"/>
      <w:pPr>
        <w:ind w:left="5057" w:hanging="180"/>
      </w:pPr>
    </w:lvl>
    <w:lvl w:ilvl="6" w:tplc="0413000F" w:tentative="1">
      <w:start w:val="1"/>
      <w:numFmt w:val="decimal"/>
      <w:lvlText w:val="%7."/>
      <w:lvlJc w:val="left"/>
      <w:pPr>
        <w:ind w:left="5777" w:hanging="360"/>
      </w:pPr>
    </w:lvl>
    <w:lvl w:ilvl="7" w:tplc="04130019" w:tentative="1">
      <w:start w:val="1"/>
      <w:numFmt w:val="lowerLetter"/>
      <w:lvlText w:val="%8."/>
      <w:lvlJc w:val="left"/>
      <w:pPr>
        <w:ind w:left="6497" w:hanging="360"/>
      </w:pPr>
    </w:lvl>
    <w:lvl w:ilvl="8" w:tplc="0413001B" w:tentative="1">
      <w:start w:val="1"/>
      <w:numFmt w:val="lowerRoman"/>
      <w:lvlText w:val="%9."/>
      <w:lvlJc w:val="right"/>
      <w:pPr>
        <w:ind w:left="7217" w:hanging="180"/>
      </w:pPr>
    </w:lvl>
  </w:abstractNum>
  <w:abstractNum w:abstractNumId="2">
    <w:nsid w:val="1AD5110F"/>
    <w:multiLevelType w:val="multilevel"/>
    <w:tmpl w:val="20B8AF30"/>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AF11D1"/>
    <w:multiLevelType w:val="hybridMultilevel"/>
    <w:tmpl w:val="6EDC4E32"/>
    <w:lvl w:ilvl="0" w:tplc="4010269A">
      <w:numFmt w:val="bullet"/>
      <w:lvlText w:val="-"/>
      <w:lvlJc w:val="left"/>
      <w:pPr>
        <w:ind w:left="360" w:hanging="360"/>
      </w:pPr>
      <w:rPr>
        <w:rFonts w:ascii="Verdana" w:eastAsiaTheme="minorEastAsia"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13E7AD3"/>
    <w:multiLevelType w:val="hybridMultilevel"/>
    <w:tmpl w:val="6A3283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6D0D44"/>
    <w:multiLevelType w:val="hybridMultilevel"/>
    <w:tmpl w:val="D048F95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6446F3"/>
    <w:multiLevelType w:val="hybridMultilevel"/>
    <w:tmpl w:val="FFEA3CF8"/>
    <w:lvl w:ilvl="0" w:tplc="04130019">
      <w:start w:val="1"/>
      <w:numFmt w:val="lowerLetter"/>
      <w:lvlText w:val="%1."/>
      <w:lvlJc w:val="left"/>
      <w:pPr>
        <w:ind w:left="1470" w:hanging="360"/>
      </w:pPr>
    </w:lvl>
    <w:lvl w:ilvl="1" w:tplc="596C1F30">
      <w:start w:val="1"/>
      <w:numFmt w:val="lowerLetter"/>
      <w:lvlText w:val="%2."/>
      <w:lvlJc w:val="left"/>
      <w:pPr>
        <w:ind w:left="2190" w:hanging="360"/>
      </w:pPr>
      <w:rPr>
        <w:rFonts w:hint="default"/>
      </w:rPr>
    </w:lvl>
    <w:lvl w:ilvl="2" w:tplc="0413001B" w:tentative="1">
      <w:start w:val="1"/>
      <w:numFmt w:val="lowerRoman"/>
      <w:lvlText w:val="%3."/>
      <w:lvlJc w:val="right"/>
      <w:pPr>
        <w:ind w:left="2910" w:hanging="180"/>
      </w:pPr>
    </w:lvl>
    <w:lvl w:ilvl="3" w:tplc="0413000F" w:tentative="1">
      <w:start w:val="1"/>
      <w:numFmt w:val="decimal"/>
      <w:lvlText w:val="%4."/>
      <w:lvlJc w:val="left"/>
      <w:pPr>
        <w:ind w:left="3630" w:hanging="360"/>
      </w:pPr>
    </w:lvl>
    <w:lvl w:ilvl="4" w:tplc="04130019" w:tentative="1">
      <w:start w:val="1"/>
      <w:numFmt w:val="lowerLetter"/>
      <w:lvlText w:val="%5."/>
      <w:lvlJc w:val="left"/>
      <w:pPr>
        <w:ind w:left="4350" w:hanging="360"/>
      </w:pPr>
    </w:lvl>
    <w:lvl w:ilvl="5" w:tplc="0413001B" w:tentative="1">
      <w:start w:val="1"/>
      <w:numFmt w:val="lowerRoman"/>
      <w:lvlText w:val="%6."/>
      <w:lvlJc w:val="right"/>
      <w:pPr>
        <w:ind w:left="5070" w:hanging="180"/>
      </w:pPr>
    </w:lvl>
    <w:lvl w:ilvl="6" w:tplc="0413000F" w:tentative="1">
      <w:start w:val="1"/>
      <w:numFmt w:val="decimal"/>
      <w:lvlText w:val="%7."/>
      <w:lvlJc w:val="left"/>
      <w:pPr>
        <w:ind w:left="5790" w:hanging="360"/>
      </w:pPr>
    </w:lvl>
    <w:lvl w:ilvl="7" w:tplc="04130019" w:tentative="1">
      <w:start w:val="1"/>
      <w:numFmt w:val="lowerLetter"/>
      <w:lvlText w:val="%8."/>
      <w:lvlJc w:val="left"/>
      <w:pPr>
        <w:ind w:left="6510" w:hanging="360"/>
      </w:pPr>
    </w:lvl>
    <w:lvl w:ilvl="8" w:tplc="0413001B" w:tentative="1">
      <w:start w:val="1"/>
      <w:numFmt w:val="lowerRoman"/>
      <w:lvlText w:val="%9."/>
      <w:lvlJc w:val="right"/>
      <w:pPr>
        <w:ind w:left="7230" w:hanging="180"/>
      </w:pPr>
    </w:lvl>
  </w:abstractNum>
  <w:abstractNum w:abstractNumId="7">
    <w:nsid w:val="32CE5150"/>
    <w:multiLevelType w:val="multilevel"/>
    <w:tmpl w:val="62D4D9DE"/>
    <w:lvl w:ilvl="0">
      <w:start w:val="10"/>
      <w:numFmt w:val="decimal"/>
      <w:lvlText w:val="%1."/>
      <w:lvlJc w:val="left"/>
      <w:pPr>
        <w:ind w:left="1188" w:hanging="480"/>
      </w:pPr>
      <w:rPr>
        <w:rFonts w:hint="default"/>
      </w:rPr>
    </w:lvl>
    <w:lvl w:ilvl="1">
      <w:start w:val="1"/>
      <w:numFmt w:val="decimal"/>
      <w:lvlText w:val="%1.%2."/>
      <w:lvlJc w:val="left"/>
      <w:pPr>
        <w:ind w:left="2133" w:hanging="720"/>
      </w:pPr>
      <w:rPr>
        <w:rFonts w:hint="default"/>
      </w:rPr>
    </w:lvl>
    <w:lvl w:ilvl="2">
      <w:start w:val="1"/>
      <w:numFmt w:val="decimal"/>
      <w:lvlText w:val="%3."/>
      <w:lvlJc w:val="left"/>
      <w:pPr>
        <w:ind w:left="2838" w:hanging="720"/>
      </w:pPr>
      <w:rPr>
        <w:rFonts w:hint="default"/>
      </w:rPr>
    </w:lvl>
    <w:lvl w:ilvl="3">
      <w:start w:val="1"/>
      <w:numFmt w:val="decimal"/>
      <w:lvlText w:val="%1.%2.%3.%4."/>
      <w:lvlJc w:val="left"/>
      <w:pPr>
        <w:ind w:left="3903"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673"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443" w:hanging="1800"/>
      </w:pPr>
      <w:rPr>
        <w:rFonts w:hint="default"/>
      </w:rPr>
    </w:lvl>
    <w:lvl w:ilvl="8">
      <w:start w:val="1"/>
      <w:numFmt w:val="decimal"/>
      <w:lvlText w:val="%1.%2.%3.%4.%5.%6.%7.%8.%9."/>
      <w:lvlJc w:val="left"/>
      <w:pPr>
        <w:ind w:left="8508" w:hanging="2160"/>
      </w:pPr>
      <w:rPr>
        <w:rFonts w:hint="default"/>
      </w:rPr>
    </w:lvl>
  </w:abstractNum>
  <w:abstractNum w:abstractNumId="8">
    <w:nsid w:val="448A21F7"/>
    <w:multiLevelType w:val="hybridMultilevel"/>
    <w:tmpl w:val="640A44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EC5C07"/>
    <w:multiLevelType w:val="hybridMultilevel"/>
    <w:tmpl w:val="6E1204C2"/>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0">
    <w:nsid w:val="46770AF8"/>
    <w:multiLevelType w:val="multilevel"/>
    <w:tmpl w:val="62D4D9DE"/>
    <w:lvl w:ilvl="0">
      <w:start w:val="10"/>
      <w:numFmt w:val="decimal"/>
      <w:lvlText w:val="%1."/>
      <w:lvlJc w:val="left"/>
      <w:pPr>
        <w:ind w:left="1188" w:hanging="480"/>
      </w:pPr>
      <w:rPr>
        <w:rFonts w:hint="default"/>
      </w:rPr>
    </w:lvl>
    <w:lvl w:ilvl="1">
      <w:start w:val="1"/>
      <w:numFmt w:val="decimal"/>
      <w:lvlText w:val="%1.%2."/>
      <w:lvlJc w:val="left"/>
      <w:pPr>
        <w:ind w:left="2133" w:hanging="720"/>
      </w:pPr>
      <w:rPr>
        <w:rFonts w:hint="default"/>
      </w:rPr>
    </w:lvl>
    <w:lvl w:ilvl="2">
      <w:start w:val="1"/>
      <w:numFmt w:val="decimal"/>
      <w:lvlText w:val="%3."/>
      <w:lvlJc w:val="left"/>
      <w:pPr>
        <w:ind w:left="2838" w:hanging="720"/>
      </w:pPr>
      <w:rPr>
        <w:rFonts w:hint="default"/>
      </w:rPr>
    </w:lvl>
    <w:lvl w:ilvl="3">
      <w:start w:val="1"/>
      <w:numFmt w:val="decimal"/>
      <w:lvlText w:val="%1.%2.%3.%4."/>
      <w:lvlJc w:val="left"/>
      <w:pPr>
        <w:ind w:left="3903"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673"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443" w:hanging="1800"/>
      </w:pPr>
      <w:rPr>
        <w:rFonts w:hint="default"/>
      </w:rPr>
    </w:lvl>
    <w:lvl w:ilvl="8">
      <w:start w:val="1"/>
      <w:numFmt w:val="decimal"/>
      <w:lvlText w:val="%1.%2.%3.%4.%5.%6.%7.%8.%9."/>
      <w:lvlJc w:val="left"/>
      <w:pPr>
        <w:ind w:left="8508" w:hanging="2160"/>
      </w:pPr>
      <w:rPr>
        <w:rFonts w:hint="default"/>
      </w:rPr>
    </w:lvl>
  </w:abstractNum>
  <w:abstractNum w:abstractNumId="11">
    <w:nsid w:val="49B31529"/>
    <w:multiLevelType w:val="hybridMultilevel"/>
    <w:tmpl w:val="529A6A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19D37DC"/>
    <w:multiLevelType w:val="multilevel"/>
    <w:tmpl w:val="53EC13F8"/>
    <w:lvl w:ilvl="0">
      <w:start w:val="10"/>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56C64300"/>
    <w:multiLevelType w:val="hybridMultilevel"/>
    <w:tmpl w:val="0F2092D2"/>
    <w:lvl w:ilvl="0" w:tplc="04130013">
      <w:start w:val="1"/>
      <w:numFmt w:val="upperRoman"/>
      <w:lvlText w:val="%1."/>
      <w:lvlJc w:val="right"/>
      <w:pPr>
        <w:ind w:left="2190" w:hanging="360"/>
      </w:pPr>
    </w:lvl>
    <w:lvl w:ilvl="1" w:tplc="04130013">
      <w:start w:val="1"/>
      <w:numFmt w:val="upperRoman"/>
      <w:lvlText w:val="%2."/>
      <w:lvlJc w:val="right"/>
      <w:pPr>
        <w:ind w:left="2910" w:hanging="360"/>
      </w:pPr>
    </w:lvl>
    <w:lvl w:ilvl="2" w:tplc="0413001B" w:tentative="1">
      <w:start w:val="1"/>
      <w:numFmt w:val="lowerRoman"/>
      <w:lvlText w:val="%3."/>
      <w:lvlJc w:val="right"/>
      <w:pPr>
        <w:ind w:left="3630" w:hanging="180"/>
      </w:pPr>
    </w:lvl>
    <w:lvl w:ilvl="3" w:tplc="0413000F" w:tentative="1">
      <w:start w:val="1"/>
      <w:numFmt w:val="decimal"/>
      <w:lvlText w:val="%4."/>
      <w:lvlJc w:val="left"/>
      <w:pPr>
        <w:ind w:left="4350" w:hanging="360"/>
      </w:pPr>
    </w:lvl>
    <w:lvl w:ilvl="4" w:tplc="04130019" w:tentative="1">
      <w:start w:val="1"/>
      <w:numFmt w:val="lowerLetter"/>
      <w:lvlText w:val="%5."/>
      <w:lvlJc w:val="left"/>
      <w:pPr>
        <w:ind w:left="5070" w:hanging="360"/>
      </w:pPr>
    </w:lvl>
    <w:lvl w:ilvl="5" w:tplc="0413001B" w:tentative="1">
      <w:start w:val="1"/>
      <w:numFmt w:val="lowerRoman"/>
      <w:lvlText w:val="%6."/>
      <w:lvlJc w:val="right"/>
      <w:pPr>
        <w:ind w:left="5790" w:hanging="180"/>
      </w:pPr>
    </w:lvl>
    <w:lvl w:ilvl="6" w:tplc="0413000F" w:tentative="1">
      <w:start w:val="1"/>
      <w:numFmt w:val="decimal"/>
      <w:lvlText w:val="%7."/>
      <w:lvlJc w:val="left"/>
      <w:pPr>
        <w:ind w:left="6510" w:hanging="360"/>
      </w:pPr>
    </w:lvl>
    <w:lvl w:ilvl="7" w:tplc="04130019" w:tentative="1">
      <w:start w:val="1"/>
      <w:numFmt w:val="lowerLetter"/>
      <w:lvlText w:val="%8."/>
      <w:lvlJc w:val="left"/>
      <w:pPr>
        <w:ind w:left="7230" w:hanging="360"/>
      </w:pPr>
    </w:lvl>
    <w:lvl w:ilvl="8" w:tplc="0413001B" w:tentative="1">
      <w:start w:val="1"/>
      <w:numFmt w:val="lowerRoman"/>
      <w:lvlText w:val="%9."/>
      <w:lvlJc w:val="right"/>
      <w:pPr>
        <w:ind w:left="7950" w:hanging="180"/>
      </w:pPr>
    </w:lvl>
  </w:abstractNum>
  <w:abstractNum w:abstractNumId="14">
    <w:nsid w:val="591E1D57"/>
    <w:multiLevelType w:val="hybridMultilevel"/>
    <w:tmpl w:val="FF7A9E1C"/>
    <w:lvl w:ilvl="0" w:tplc="04130019">
      <w:start w:val="5"/>
      <w:numFmt w:val="lowerLetter"/>
      <w:lvlText w:val="%1."/>
      <w:lvlJc w:val="left"/>
      <w:pPr>
        <w:ind w:left="1434" w:hanging="360"/>
      </w:pPr>
      <w:rPr>
        <w:rFonts w:hint="default"/>
      </w:rPr>
    </w:lvl>
    <w:lvl w:ilvl="1" w:tplc="04130019" w:tentative="1">
      <w:start w:val="1"/>
      <w:numFmt w:val="lowerLetter"/>
      <w:lvlText w:val="%2."/>
      <w:lvlJc w:val="left"/>
      <w:pPr>
        <w:ind w:left="2154" w:hanging="360"/>
      </w:pPr>
    </w:lvl>
    <w:lvl w:ilvl="2" w:tplc="0413001B" w:tentative="1">
      <w:start w:val="1"/>
      <w:numFmt w:val="lowerRoman"/>
      <w:lvlText w:val="%3."/>
      <w:lvlJc w:val="right"/>
      <w:pPr>
        <w:ind w:left="2874" w:hanging="180"/>
      </w:pPr>
    </w:lvl>
    <w:lvl w:ilvl="3" w:tplc="0413000F" w:tentative="1">
      <w:start w:val="1"/>
      <w:numFmt w:val="decimal"/>
      <w:lvlText w:val="%4."/>
      <w:lvlJc w:val="left"/>
      <w:pPr>
        <w:ind w:left="3594" w:hanging="360"/>
      </w:pPr>
    </w:lvl>
    <w:lvl w:ilvl="4" w:tplc="04130019" w:tentative="1">
      <w:start w:val="1"/>
      <w:numFmt w:val="lowerLetter"/>
      <w:lvlText w:val="%5."/>
      <w:lvlJc w:val="left"/>
      <w:pPr>
        <w:ind w:left="4314" w:hanging="360"/>
      </w:pPr>
    </w:lvl>
    <w:lvl w:ilvl="5" w:tplc="0413001B" w:tentative="1">
      <w:start w:val="1"/>
      <w:numFmt w:val="lowerRoman"/>
      <w:lvlText w:val="%6."/>
      <w:lvlJc w:val="right"/>
      <w:pPr>
        <w:ind w:left="5034" w:hanging="180"/>
      </w:pPr>
    </w:lvl>
    <w:lvl w:ilvl="6" w:tplc="0413000F" w:tentative="1">
      <w:start w:val="1"/>
      <w:numFmt w:val="decimal"/>
      <w:lvlText w:val="%7."/>
      <w:lvlJc w:val="left"/>
      <w:pPr>
        <w:ind w:left="5754" w:hanging="360"/>
      </w:pPr>
    </w:lvl>
    <w:lvl w:ilvl="7" w:tplc="04130019" w:tentative="1">
      <w:start w:val="1"/>
      <w:numFmt w:val="lowerLetter"/>
      <w:lvlText w:val="%8."/>
      <w:lvlJc w:val="left"/>
      <w:pPr>
        <w:ind w:left="6474" w:hanging="360"/>
      </w:pPr>
    </w:lvl>
    <w:lvl w:ilvl="8" w:tplc="0413001B" w:tentative="1">
      <w:start w:val="1"/>
      <w:numFmt w:val="lowerRoman"/>
      <w:lvlText w:val="%9."/>
      <w:lvlJc w:val="right"/>
      <w:pPr>
        <w:ind w:left="7194" w:hanging="180"/>
      </w:pPr>
    </w:lvl>
  </w:abstractNum>
  <w:abstractNum w:abstractNumId="15">
    <w:nsid w:val="5BED640D"/>
    <w:multiLevelType w:val="hybridMultilevel"/>
    <w:tmpl w:val="1346A2C0"/>
    <w:lvl w:ilvl="0" w:tplc="0413000F">
      <w:start w:val="1"/>
      <w:numFmt w:val="decimal"/>
      <w:lvlText w:val="%1."/>
      <w:lvlJc w:val="left"/>
      <w:pPr>
        <w:ind w:left="360" w:hanging="360"/>
      </w:pPr>
      <w:rPr>
        <w:rFonts w:hint="default"/>
      </w:rPr>
    </w:lvl>
    <w:lvl w:ilvl="1" w:tplc="04130013">
      <w:start w:val="1"/>
      <w:numFmt w:val="upperRoman"/>
      <w:lvlText w:val="%2."/>
      <w:lvlJc w:val="righ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677F2DA3"/>
    <w:multiLevelType w:val="hybridMultilevel"/>
    <w:tmpl w:val="E37E02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986042E"/>
    <w:multiLevelType w:val="hybridMultilevel"/>
    <w:tmpl w:val="2FDC6332"/>
    <w:lvl w:ilvl="0" w:tplc="04130013">
      <w:start w:val="1"/>
      <w:numFmt w:val="upperRoman"/>
      <w:lvlText w:val="%1."/>
      <w:lvlJc w:val="right"/>
      <w:pPr>
        <w:ind w:left="2190" w:hanging="360"/>
      </w:pPr>
    </w:lvl>
    <w:lvl w:ilvl="1" w:tplc="04130019">
      <w:start w:val="1"/>
      <w:numFmt w:val="lowerLetter"/>
      <w:lvlText w:val="%2."/>
      <w:lvlJc w:val="left"/>
      <w:pPr>
        <w:ind w:left="2910" w:hanging="360"/>
      </w:pPr>
    </w:lvl>
    <w:lvl w:ilvl="2" w:tplc="0413001B" w:tentative="1">
      <w:start w:val="1"/>
      <w:numFmt w:val="lowerRoman"/>
      <w:lvlText w:val="%3."/>
      <w:lvlJc w:val="right"/>
      <w:pPr>
        <w:ind w:left="3630" w:hanging="180"/>
      </w:pPr>
    </w:lvl>
    <w:lvl w:ilvl="3" w:tplc="0413000F" w:tentative="1">
      <w:start w:val="1"/>
      <w:numFmt w:val="decimal"/>
      <w:lvlText w:val="%4."/>
      <w:lvlJc w:val="left"/>
      <w:pPr>
        <w:ind w:left="4350" w:hanging="360"/>
      </w:pPr>
    </w:lvl>
    <w:lvl w:ilvl="4" w:tplc="04130019" w:tentative="1">
      <w:start w:val="1"/>
      <w:numFmt w:val="lowerLetter"/>
      <w:lvlText w:val="%5."/>
      <w:lvlJc w:val="left"/>
      <w:pPr>
        <w:ind w:left="5070" w:hanging="360"/>
      </w:pPr>
    </w:lvl>
    <w:lvl w:ilvl="5" w:tplc="0413001B" w:tentative="1">
      <w:start w:val="1"/>
      <w:numFmt w:val="lowerRoman"/>
      <w:lvlText w:val="%6."/>
      <w:lvlJc w:val="right"/>
      <w:pPr>
        <w:ind w:left="5790" w:hanging="180"/>
      </w:pPr>
    </w:lvl>
    <w:lvl w:ilvl="6" w:tplc="0413000F" w:tentative="1">
      <w:start w:val="1"/>
      <w:numFmt w:val="decimal"/>
      <w:lvlText w:val="%7."/>
      <w:lvlJc w:val="left"/>
      <w:pPr>
        <w:ind w:left="6510" w:hanging="360"/>
      </w:pPr>
    </w:lvl>
    <w:lvl w:ilvl="7" w:tplc="04130019" w:tentative="1">
      <w:start w:val="1"/>
      <w:numFmt w:val="lowerLetter"/>
      <w:lvlText w:val="%8."/>
      <w:lvlJc w:val="left"/>
      <w:pPr>
        <w:ind w:left="7230" w:hanging="360"/>
      </w:pPr>
    </w:lvl>
    <w:lvl w:ilvl="8" w:tplc="0413001B" w:tentative="1">
      <w:start w:val="1"/>
      <w:numFmt w:val="lowerRoman"/>
      <w:lvlText w:val="%9."/>
      <w:lvlJc w:val="right"/>
      <w:pPr>
        <w:ind w:left="7950" w:hanging="180"/>
      </w:pPr>
    </w:lvl>
  </w:abstractNum>
  <w:abstractNum w:abstractNumId="18">
    <w:nsid w:val="6AC26CC9"/>
    <w:multiLevelType w:val="multilevel"/>
    <w:tmpl w:val="4E18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585216"/>
    <w:multiLevelType w:val="multilevel"/>
    <w:tmpl w:val="62D4D9DE"/>
    <w:lvl w:ilvl="0">
      <w:start w:val="10"/>
      <w:numFmt w:val="decimal"/>
      <w:lvlText w:val="%1."/>
      <w:lvlJc w:val="left"/>
      <w:pPr>
        <w:ind w:left="1188" w:hanging="480"/>
      </w:pPr>
      <w:rPr>
        <w:rFonts w:hint="default"/>
      </w:rPr>
    </w:lvl>
    <w:lvl w:ilvl="1">
      <w:start w:val="1"/>
      <w:numFmt w:val="decimal"/>
      <w:lvlText w:val="%1.%2."/>
      <w:lvlJc w:val="left"/>
      <w:pPr>
        <w:ind w:left="2133" w:hanging="720"/>
      </w:pPr>
      <w:rPr>
        <w:rFonts w:hint="default"/>
      </w:rPr>
    </w:lvl>
    <w:lvl w:ilvl="2">
      <w:start w:val="1"/>
      <w:numFmt w:val="decimal"/>
      <w:lvlText w:val="%3."/>
      <w:lvlJc w:val="left"/>
      <w:pPr>
        <w:ind w:left="2838" w:hanging="720"/>
      </w:pPr>
      <w:rPr>
        <w:rFonts w:hint="default"/>
      </w:rPr>
    </w:lvl>
    <w:lvl w:ilvl="3">
      <w:start w:val="1"/>
      <w:numFmt w:val="decimal"/>
      <w:lvlText w:val="%1.%2.%3.%4."/>
      <w:lvlJc w:val="left"/>
      <w:pPr>
        <w:ind w:left="3903" w:hanging="108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673" w:hanging="1440"/>
      </w:pPr>
      <w:rPr>
        <w:rFonts w:hint="default"/>
      </w:rPr>
    </w:lvl>
    <w:lvl w:ilvl="6">
      <w:start w:val="1"/>
      <w:numFmt w:val="decimal"/>
      <w:lvlText w:val="%1.%2.%3.%4.%5.%6.%7."/>
      <w:lvlJc w:val="left"/>
      <w:pPr>
        <w:ind w:left="6738" w:hanging="1800"/>
      </w:pPr>
      <w:rPr>
        <w:rFonts w:hint="default"/>
      </w:rPr>
    </w:lvl>
    <w:lvl w:ilvl="7">
      <w:start w:val="1"/>
      <w:numFmt w:val="decimal"/>
      <w:lvlText w:val="%1.%2.%3.%4.%5.%6.%7.%8."/>
      <w:lvlJc w:val="left"/>
      <w:pPr>
        <w:ind w:left="7443" w:hanging="1800"/>
      </w:pPr>
      <w:rPr>
        <w:rFonts w:hint="default"/>
      </w:rPr>
    </w:lvl>
    <w:lvl w:ilvl="8">
      <w:start w:val="1"/>
      <w:numFmt w:val="decimal"/>
      <w:lvlText w:val="%1.%2.%3.%4.%5.%6.%7.%8.%9."/>
      <w:lvlJc w:val="left"/>
      <w:pPr>
        <w:ind w:left="8508" w:hanging="2160"/>
      </w:pPr>
      <w:rPr>
        <w:rFonts w:hint="default"/>
      </w:rPr>
    </w:lvl>
  </w:abstractNum>
  <w:abstractNum w:abstractNumId="20">
    <w:nsid w:val="764E5894"/>
    <w:multiLevelType w:val="hybridMultilevel"/>
    <w:tmpl w:val="ACFE16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5"/>
  </w:num>
  <w:num w:numId="4">
    <w:abstractNumId w:val="2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0"/>
  </w:num>
  <w:num w:numId="9">
    <w:abstractNumId w:val="1"/>
  </w:num>
  <w:num w:numId="10">
    <w:abstractNumId w:val="14"/>
  </w:num>
  <w:num w:numId="11">
    <w:abstractNumId w:val="3"/>
  </w:num>
  <w:num w:numId="12">
    <w:abstractNumId w:val="12"/>
  </w:num>
  <w:num w:numId="13">
    <w:abstractNumId w:val="7"/>
  </w:num>
  <w:num w:numId="14">
    <w:abstractNumId w:val="10"/>
  </w:num>
  <w:num w:numId="15">
    <w:abstractNumId w:val="19"/>
  </w:num>
  <w:num w:numId="16">
    <w:abstractNumId w:val="16"/>
  </w:num>
  <w:num w:numId="17">
    <w:abstractNumId w:val="9"/>
  </w:num>
  <w:num w:numId="18">
    <w:abstractNumId w:val="6"/>
  </w:num>
  <w:num w:numId="19">
    <w:abstractNumId w:val="17"/>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509E8"/>
    <w:rsid w:val="00031402"/>
    <w:rsid w:val="00036BD4"/>
    <w:rsid w:val="000509E8"/>
    <w:rsid w:val="00052148"/>
    <w:rsid w:val="00067842"/>
    <w:rsid w:val="00071184"/>
    <w:rsid w:val="0009256D"/>
    <w:rsid w:val="00097799"/>
    <w:rsid w:val="00101BF2"/>
    <w:rsid w:val="00126793"/>
    <w:rsid w:val="00163CB2"/>
    <w:rsid w:val="001B2531"/>
    <w:rsid w:val="00201EB8"/>
    <w:rsid w:val="002047DC"/>
    <w:rsid w:val="00226413"/>
    <w:rsid w:val="00236A42"/>
    <w:rsid w:val="0027570E"/>
    <w:rsid w:val="00286AB4"/>
    <w:rsid w:val="00287779"/>
    <w:rsid w:val="002A17BD"/>
    <w:rsid w:val="002B7DF6"/>
    <w:rsid w:val="00312EC4"/>
    <w:rsid w:val="00316C95"/>
    <w:rsid w:val="00332022"/>
    <w:rsid w:val="0034201E"/>
    <w:rsid w:val="00356E1D"/>
    <w:rsid w:val="00383C89"/>
    <w:rsid w:val="00385475"/>
    <w:rsid w:val="00404B74"/>
    <w:rsid w:val="00416B9F"/>
    <w:rsid w:val="00440B97"/>
    <w:rsid w:val="0049546C"/>
    <w:rsid w:val="00496D23"/>
    <w:rsid w:val="004A4E79"/>
    <w:rsid w:val="004C60E7"/>
    <w:rsid w:val="004D0A18"/>
    <w:rsid w:val="004E4673"/>
    <w:rsid w:val="004F18F6"/>
    <w:rsid w:val="004F2D0B"/>
    <w:rsid w:val="004F3A45"/>
    <w:rsid w:val="00500658"/>
    <w:rsid w:val="00590138"/>
    <w:rsid w:val="005A6709"/>
    <w:rsid w:val="005B0E1D"/>
    <w:rsid w:val="005D65F0"/>
    <w:rsid w:val="006228C9"/>
    <w:rsid w:val="00695635"/>
    <w:rsid w:val="006A0FAF"/>
    <w:rsid w:val="006A4D1D"/>
    <w:rsid w:val="006B7E48"/>
    <w:rsid w:val="006E1A5A"/>
    <w:rsid w:val="006E5526"/>
    <w:rsid w:val="00712A4C"/>
    <w:rsid w:val="0072389F"/>
    <w:rsid w:val="00743986"/>
    <w:rsid w:val="00755752"/>
    <w:rsid w:val="007666AE"/>
    <w:rsid w:val="007E1B2D"/>
    <w:rsid w:val="00817AB1"/>
    <w:rsid w:val="00861A83"/>
    <w:rsid w:val="00886B3A"/>
    <w:rsid w:val="008A4906"/>
    <w:rsid w:val="008B736F"/>
    <w:rsid w:val="008C2518"/>
    <w:rsid w:val="008F5D9B"/>
    <w:rsid w:val="009109BA"/>
    <w:rsid w:val="0091760E"/>
    <w:rsid w:val="0092291F"/>
    <w:rsid w:val="009B29F1"/>
    <w:rsid w:val="009B5170"/>
    <w:rsid w:val="009B67C4"/>
    <w:rsid w:val="009C295F"/>
    <w:rsid w:val="009D2EA6"/>
    <w:rsid w:val="009E5D71"/>
    <w:rsid w:val="009F79B6"/>
    <w:rsid w:val="00A17C6E"/>
    <w:rsid w:val="00A226EE"/>
    <w:rsid w:val="00A2582E"/>
    <w:rsid w:val="00A27E14"/>
    <w:rsid w:val="00A27E4C"/>
    <w:rsid w:val="00A369FC"/>
    <w:rsid w:val="00A64313"/>
    <w:rsid w:val="00B00283"/>
    <w:rsid w:val="00B02775"/>
    <w:rsid w:val="00B26A85"/>
    <w:rsid w:val="00B37491"/>
    <w:rsid w:val="00B42CAE"/>
    <w:rsid w:val="00B62783"/>
    <w:rsid w:val="00B631A0"/>
    <w:rsid w:val="00B64784"/>
    <w:rsid w:val="00B8454F"/>
    <w:rsid w:val="00BB40FC"/>
    <w:rsid w:val="00BC099B"/>
    <w:rsid w:val="00BC5D6C"/>
    <w:rsid w:val="00BE5443"/>
    <w:rsid w:val="00BF09A8"/>
    <w:rsid w:val="00BF4C40"/>
    <w:rsid w:val="00C32456"/>
    <w:rsid w:val="00C37158"/>
    <w:rsid w:val="00C626CD"/>
    <w:rsid w:val="00C71BF1"/>
    <w:rsid w:val="00C97E7D"/>
    <w:rsid w:val="00CA273E"/>
    <w:rsid w:val="00CE1470"/>
    <w:rsid w:val="00CE6854"/>
    <w:rsid w:val="00D2640F"/>
    <w:rsid w:val="00D41D29"/>
    <w:rsid w:val="00DD3AC9"/>
    <w:rsid w:val="00DD57AD"/>
    <w:rsid w:val="00DE4548"/>
    <w:rsid w:val="00E46B45"/>
    <w:rsid w:val="00E51893"/>
    <w:rsid w:val="00E56EDA"/>
    <w:rsid w:val="00EE1640"/>
    <w:rsid w:val="00EE3CE7"/>
    <w:rsid w:val="00EE7260"/>
    <w:rsid w:val="00F03A38"/>
    <w:rsid w:val="00F22CDC"/>
    <w:rsid w:val="00F40A08"/>
    <w:rsid w:val="00FC1532"/>
    <w:rsid w:val="00FC48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09E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509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509E8"/>
  </w:style>
  <w:style w:type="paragraph" w:styleId="Voettekst">
    <w:name w:val="footer"/>
    <w:basedOn w:val="Standaard"/>
    <w:link w:val="VoettekstChar"/>
    <w:uiPriority w:val="99"/>
    <w:unhideWhenUsed/>
    <w:rsid w:val="000509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9E8"/>
  </w:style>
  <w:style w:type="paragraph" w:styleId="Lijstalinea">
    <w:name w:val="List Paragraph"/>
    <w:basedOn w:val="Standaard"/>
    <w:uiPriority w:val="34"/>
    <w:qFormat/>
    <w:rsid w:val="000509E8"/>
    <w:pPr>
      <w:ind w:left="720"/>
      <w:contextualSpacing/>
    </w:pPr>
  </w:style>
  <w:style w:type="paragraph" w:styleId="Voetnoottekst">
    <w:name w:val="footnote text"/>
    <w:basedOn w:val="Standaard"/>
    <w:link w:val="VoetnoottekstChar"/>
    <w:uiPriority w:val="99"/>
    <w:semiHidden/>
    <w:unhideWhenUsed/>
    <w:rsid w:val="000509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9E8"/>
    <w:rPr>
      <w:rFonts w:eastAsiaTheme="minorEastAsia"/>
      <w:sz w:val="20"/>
      <w:szCs w:val="20"/>
      <w:lang w:eastAsia="nl-NL"/>
    </w:rPr>
  </w:style>
  <w:style w:type="character" w:styleId="Voetnootmarkering">
    <w:name w:val="footnote reference"/>
    <w:basedOn w:val="Standaardalinea-lettertype"/>
    <w:uiPriority w:val="99"/>
    <w:semiHidden/>
    <w:unhideWhenUsed/>
    <w:rsid w:val="000509E8"/>
    <w:rPr>
      <w:vertAlign w:val="superscript"/>
    </w:rPr>
  </w:style>
  <w:style w:type="paragraph" w:styleId="Ballontekst">
    <w:name w:val="Balloon Text"/>
    <w:basedOn w:val="Standaard"/>
    <w:link w:val="BallontekstChar"/>
    <w:uiPriority w:val="99"/>
    <w:semiHidden/>
    <w:unhideWhenUsed/>
    <w:rsid w:val="004A4E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4E79"/>
    <w:rPr>
      <w:rFonts w:ascii="Tahoma" w:eastAsiaTheme="minorEastAsia" w:hAnsi="Tahoma" w:cs="Tahoma"/>
      <w:sz w:val="16"/>
      <w:szCs w:val="16"/>
      <w:lang w:eastAsia="nl-NL"/>
    </w:rPr>
  </w:style>
  <w:style w:type="character" w:styleId="Verwijzingopmerking">
    <w:name w:val="annotation reference"/>
    <w:basedOn w:val="Standaardalinea-lettertype"/>
    <w:uiPriority w:val="99"/>
    <w:semiHidden/>
    <w:unhideWhenUsed/>
    <w:rsid w:val="0034201E"/>
    <w:rPr>
      <w:sz w:val="16"/>
      <w:szCs w:val="16"/>
    </w:rPr>
  </w:style>
  <w:style w:type="paragraph" w:styleId="Tekstopmerking">
    <w:name w:val="annotation text"/>
    <w:basedOn w:val="Standaard"/>
    <w:link w:val="TekstopmerkingChar"/>
    <w:uiPriority w:val="99"/>
    <w:semiHidden/>
    <w:unhideWhenUsed/>
    <w:rsid w:val="003420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201E"/>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4201E"/>
    <w:rPr>
      <w:b/>
      <w:bCs/>
    </w:rPr>
  </w:style>
  <w:style w:type="character" w:customStyle="1" w:styleId="OnderwerpvanopmerkingChar">
    <w:name w:val="Onderwerp van opmerking Char"/>
    <w:basedOn w:val="TekstopmerkingChar"/>
    <w:link w:val="Onderwerpvanopmerking"/>
    <w:uiPriority w:val="99"/>
    <w:semiHidden/>
    <w:rsid w:val="0034201E"/>
    <w:rPr>
      <w:b/>
      <w:bCs/>
    </w:rPr>
  </w:style>
  <w:style w:type="paragraph" w:customStyle="1" w:styleId="Default">
    <w:name w:val="Default"/>
    <w:rsid w:val="00C371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9954966">
      <w:bodyDiv w:val="1"/>
      <w:marLeft w:val="0"/>
      <w:marRight w:val="0"/>
      <w:marTop w:val="0"/>
      <w:marBottom w:val="0"/>
      <w:divBdr>
        <w:top w:val="none" w:sz="0" w:space="0" w:color="auto"/>
        <w:left w:val="none" w:sz="0" w:space="0" w:color="auto"/>
        <w:bottom w:val="none" w:sz="0" w:space="0" w:color="auto"/>
        <w:right w:val="none" w:sz="0" w:space="0" w:color="auto"/>
      </w:divBdr>
    </w:div>
    <w:div w:id="18322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C6692-952B-4C7A-9487-5E8A9ABE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3384</Words>
  <Characters>18617</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Ponce</dc:creator>
  <cp:lastModifiedBy>Ponce</cp:lastModifiedBy>
  <cp:revision>2</cp:revision>
  <cp:lastPrinted>2016-02-26T16:16:00Z</cp:lastPrinted>
  <dcterms:created xsi:type="dcterms:W3CDTF">2016-03-02T10:01:00Z</dcterms:created>
  <dcterms:modified xsi:type="dcterms:W3CDTF">2016-03-02T10:01:00Z</dcterms:modified>
</cp:coreProperties>
</file>